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Beyond the Blade: Pharmacological and Quality Perspectives of Wound Modulation in Sushruta’s Mishraka Adhyaya</w:t>
      </w:r>
    </w:p>
    <w:p>
      <w:pPr>
        <w:pStyle w:val="Authors"/>
      </w:pPr>
      <w:r>
        <w:t xml:space="preserve">Dr Shashanka Parameshwara Bhat P</w:t>
      </w:r>
      <w:r>
        <w:rPr>
          <w:vertAlign w:val="superscript"/>
        </w:rPr>
        <w:t xml:space="preserve">*</w:t>
      </w:r>
    </w:p>
    <w:p>
      <w:pPr>
        <w:pStyle w:val="Affiliation"/>
        <w:keepNext w:val="0"/>
        <w:spacing w:after="200"/>
      </w:pPr>
      <w:r>
        <w:rPr>
          <w:b/>
          <w:bCs/>
        </w:rPr>
        <w:t xml:space="preserve">*Corresponding author: </w:t>
      </w:r>
      <w:r>
        <w:t xml:space="preserve">Dr Shashanka Parameshwara Bhat P</w:t>
      </w:r>
      <w:r>
        <w:t xml:space="preserve">, </w:t>
      </w:r>
      <w:hyperlink r:id="rIdL1">
        <w:r>
          <w:rPr>
            <w:rStyle w:val="Hyperlink"/>
          </w:rPr>
          <w:t xml:space="preserve">drshashankpbhat@gmail.com</w:t>
        </w:r>
      </w:hyperlink>
    </w:p>
    <w:p>
      <w:pPr>
        <w:pStyle w:val="Heading1"/>
      </w:pPr>
      <w:r>
        <w:t xml:space="preserve">Abstract</w:t>
      </w:r>
    </w:p>
    <w:p>
      <w:pPr>
        <w:pStyle w:val="AbstractText"/>
      </w:pPr>
      <w:r>
        <w:t xml:space="preserve">While contemporary surgery often prioritizes mechanical intervention, the Mishraka Adhyaya1 in Sutra Sthana,of Sushruta Samhita provides a sophisticated pharmacological blueprint that treats wound healing as a controlled biological progression. Within this treatise, wound management is accorded prime importance, requiring a transition from broad procedural frameworks to high-precision medicinal intervention. This paper systematically evaluates the eight principal therapies—Vimlapana, Pachana, Darana, Pidana, Shodhana, Ropana, Utsadana, and Avasadana2—evaluating their integrated presentation as a specialized pharmacological system extracted from the broader Shashti Upakrama. By synthesizing the scholarly commentaries of Dalhana and Chakrapani, this study investigates the rationale behind the ‘Mishraka’ designation, emphasizing the clinical necessity of utilizing medicinal substances in standardized medicinal groups i.e., Gana. Using the Matulunga combinations as a primary model, the authors argue that these pharmacological clusters are not arbitrary but are strictly contingent upon a rigorous clinical examination of the patient. By mapping these ancient formulations directly onto the modern physiological phases of inflammation, proliferation, and tissue remodeling, this review establishes the clinical pragmatism of the Yathalabham3 principle. Ultimately, this research demonstrates that the Mishraka Adhyaya functions as a ‘Surgical Pharmacopoeia,’ offering a non-invasive, biologically sound alternative to purely synthetic wound care protocols in both resource-constrained and personalized surgical settings.</w:t>
      </w:r>
    </w:p>
    <w:p>
      <w:pPr>
        <w:pStyle w:val="Keywords"/>
      </w:pPr>
      <w:r>
        <w:rPr>
          <w:b/>
          <w:bCs/>
        </w:rPr>
        <w:t xml:space="preserve">Keywords: </w:t>
      </w:r>
      <w:r>
        <w:t xml:space="preserve">Sushruta Samhita; Shalya Tantra; Wound Modulation; Surgical Pharmacology; Phyto-chemistry; Bio-regionalism</w:t>
      </w:r>
    </w:p>
    <w:p>
      <w:pPr>
        <w:pStyle w:val="AbstractText"/>
      </w:pPr>
      <w:r>
        <w:t xml:space="preserve">Received: 11 August 2026 · Accepted: 31 October 2026 · Published: 31 October 2026</w:t>
      </w:r>
    </w:p>
    <w:p>
      <w:pPr>
        <w:pStyle w:val="CiteBox"/>
      </w:pPr>
      <w:r>
        <w:rPr>
          <w:b/>
          <w:bCs/>
        </w:rPr>
        <w:t xml:space="preserve">How to cite this article: </w:t>
      </w:r>
      <w:r>
        <w:t xml:space="preserve">Bhat P, D. S. P. (2026). Beyond the Blade: Pharmacological and Quality Perspectives of Wound Modulation in Sushruta’s Mishraka Adhyaya. </w:t>
      </w:r>
      <w:r>
        <w:rPr>
          <w:i/>
          <w:iCs/>
        </w:rPr>
        <w:t xml:space="preserve">Aathiyoga Indian Journal of Ancient Medicine and Yoga</w:t>
      </w:r>
      <w:r>
        <w:t xml:space="preserve">, </w:t>
      </w:r>
      <w:r>
        <w:rPr>
          <w:i/>
          <w:iCs/>
        </w:rPr>
        <w:t xml:space="preserve">4</w:t>
      </w:r>
      <w:r>
        <w:t xml:space="preserve">(09)</w:t>
      </w:r>
      <w:r>
        <w:t xml:space="preserve">.</w:t>
      </w:r>
      <w:r>
        <w:t xml:space="preserve"> </w:t>
      </w:r>
      <w:hyperlink r:id="rIdL2">
        <w:r>
          <w:rPr>
            <w:rStyle w:val="Hyperlink"/>
          </w:rPr>
          <w:t xml:space="preserve">https://doi.org/10.63300/aijamay.v4i09.5</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Normal"/>
      </w:pPr>
      <w:r>
        <w:rPr>
          <w:b/>
          <w:bCs/>
        </w:rPr>
        <w:t xml:space="preserve">1. Introduction</w:t>
      </w:r>
    </w:p>
    <w:p>
      <w:pPr>
        <w:pStyle w:val="Normal"/>
      </w:pPr>
      <w:r>
        <w:t xml:space="preserve">In traditional </w:t>
      </w:r>
      <w:r>
        <w:rPr>
          <w:i/>
          <w:iCs/>
        </w:rPr>
        <w:t xml:space="preserve">Shalya Tantra</w:t>
      </w:r>
      <w:r>
        <w:t xml:space="preserve">, surgery isn't just about cutting and stitching—it is a biological intervention. </w:t>
      </w:r>
      <w:r>
        <w:rPr>
          <w:i/>
          <w:iCs/>
        </w:rPr>
        <w:t xml:space="preserve">Sushruta</w:t>
      </w:r>
      <w:r>
        <w:t xml:space="preserve">, the "Father of Surgery," understood that the success of any operation depends on the wound’s micro-environment. This shifts our focus from the surgical blade to the actual state of the tissue.</w:t>
      </w:r>
    </w:p>
    <w:p>
      <w:pPr>
        <w:pStyle w:val="Normal"/>
      </w:pPr>
      <w:r>
        <w:t xml:space="preserve">The placement of the </w:t>
      </w:r>
      <w:r>
        <w:rPr>
          <w:i/>
          <w:iCs/>
        </w:rPr>
        <w:t xml:space="preserve">Mishraka Adhyaya</w:t>
      </w:r>
      <w:r>
        <w:t xml:space="preserve"> in the </w:t>
      </w:r>
      <w:r>
        <w:rPr>
          <w:i/>
          <w:iCs/>
        </w:rPr>
        <w:t xml:space="preserve">Sutra Sthana</w:t>
      </w:r>
      <w:r>
        <w:t xml:space="preserve"> is very intentional. It sits right after the chapters on surgical instruments (</w:t>
      </w:r>
      <w:r>
        <w:rPr>
          <w:i/>
          <w:iCs/>
        </w:rPr>
        <w:t xml:space="preserve">Yantra</w:t>
      </w:r>
      <w:r>
        <w:t xml:space="preserve"> and </w:t>
      </w:r>
      <w:r>
        <w:rPr>
          <w:i/>
          <w:iCs/>
        </w:rPr>
        <w:t xml:space="preserve">Shastra</w:t>
      </w:r>
      <w:r>
        <w:t xml:space="preserve">) but before the management of specific diseases. The logic here is simple: before a surgeon picks up a tool, they must first learn the medicinal groups used to prep and manage the tissue. By putting pharmacology before disease management, </w:t>
      </w:r>
      <w:r>
        <w:rPr>
          <w:i/>
          <w:iCs/>
        </w:rPr>
        <w:t xml:space="preserve">Sushruta</w:t>
      </w:r>
      <w:r>
        <w:t xml:space="preserve"> makes it clear that stabilizing the wound environment is a prerequisite for a good surgical outcome.</w:t>
      </w:r>
    </w:p>
    <w:p>
      <w:pPr>
        <w:pStyle w:val="Normal"/>
      </w:pPr>
      <w:r>
        <w:t xml:space="preserve">Regarding the name ‘</w:t>
      </w:r>
      <w:r>
        <w:rPr>
          <w:i/>
          <w:iCs/>
        </w:rPr>
        <w:t xml:space="preserve">Mishraka,</w:t>
      </w:r>
      <w:r>
        <w:t xml:space="preserve">’ </w:t>
      </w:r>
      <w:r>
        <w:rPr>
          <w:i/>
          <w:iCs/>
        </w:rPr>
        <w:t xml:space="preserve">Dalhana’s</w:t>
      </w:r>
      <w:r>
        <w:t xml:space="preserve"> commentary in the </w:t>
      </w:r>
      <w:r>
        <w:rPr>
          <w:i/>
          <w:iCs/>
        </w:rPr>
        <w:t xml:space="preserve">Nibandhasangraha</w:t>
      </w:r>
      <w:r>
        <w:t xml:space="preserve"> gives two main reasons. First, the chapter is named ‘</w:t>
      </w:r>
      <w:r>
        <w:rPr>
          <w:i/>
          <w:iCs/>
        </w:rPr>
        <w:t xml:space="preserve">Mishraka</w:t>
      </w:r>
      <w:r>
        <w:t xml:space="preserve">’ because it groups the eight key surgical therapies—</w:t>
      </w:r>
      <w:r>
        <w:rPr>
          <w:i/>
          <w:iCs/>
        </w:rPr>
        <w:t xml:space="preserve">Vimlapana, Pachana, Darana, Pidana, Shodhana, Ropana, Utsadana,</w:t>
      </w:r>
      <w:r>
        <w:t xml:space="preserve"> and </w:t>
      </w:r>
      <w:r>
        <w:rPr>
          <w:i/>
          <w:iCs/>
        </w:rPr>
        <w:t xml:space="preserve">Avasadana</w:t>
      </w:r>
      <w:r>
        <w:t xml:space="preserve">—into one collective discussion. Second, he mentions that other experts argue the name comes from the</w:t>
      </w:r>
      <w:r>
        <w:rPr>
          <w:i/>
          <w:iCs/>
        </w:rPr>
        <w:t xml:space="preserve">mishra-yoga</w:t>
      </w:r>
      <w:r>
        <w:t xml:space="preserve"> used to treat both </w:t>
      </w:r>
      <w:r>
        <w:rPr>
          <w:i/>
          <w:iCs/>
        </w:rPr>
        <w:t xml:space="preserve">Shotha</w:t>
      </w:r>
      <w:r>
        <w:t xml:space="preserve"> and </w:t>
      </w:r>
      <w:r>
        <w:rPr>
          <w:i/>
          <w:iCs/>
        </w:rPr>
        <w:t xml:space="preserve">Vrana</w:t>
      </w:r>
      <w:r>
        <w:rPr>
          <w:i/>
          <w:iCs/>
          <w:vertAlign w:val="superscript"/>
        </w:rPr>
        <w:t xml:space="preserve">2</w:t>
      </w:r>
      <w:r>
        <w:t xml:space="preserve">.</w:t>
      </w:r>
    </w:p>
    <w:p>
      <w:pPr>
        <w:pStyle w:val="Normal"/>
      </w:pPr>
      <w:r>
        <w:t xml:space="preserve">Ultimately, the </w:t>
      </w:r>
      <w:r>
        <w:rPr>
          <w:i/>
          <w:iCs/>
        </w:rPr>
        <w:t xml:space="preserve">Mishraka Adhyaya</w:t>
      </w:r>
      <w:r>
        <w:t xml:space="preserve"> is the bridge between mechanical skill and biological reality. It isn't just a list of herbs; it is a specialized "chemical toolkit" that a surgeon needs to handle the complexities of inflammation and healing.</w:t>
      </w:r>
    </w:p>
    <w:p>
      <w:pPr>
        <w:pStyle w:val="Normal"/>
      </w:pPr>
      <w:r>
        <w:rPr>
          <w:b/>
          <w:bCs/>
        </w:rPr>
        <w:t xml:space="preserve">2. Critical Analysis of the</w:t>
      </w:r>
      <w:r>
        <w:rPr>
          <w:b/>
          <w:bCs/>
          <w:i/>
          <w:iCs/>
        </w:rPr>
        <w:t xml:space="preserve">Ashta-Upakramas</w:t>
      </w:r>
    </w:p>
    <w:p>
      <w:pPr>
        <w:pStyle w:val="Normal"/>
      </w:pPr>
      <w:r>
        <w:t xml:space="preserve">The </w:t>
      </w:r>
      <w:r>
        <w:rPr>
          <w:i/>
          <w:iCs/>
        </w:rPr>
        <w:t xml:space="preserve">Mishraka Adhyaya</w:t>
      </w:r>
      <w:r>
        <w:t xml:space="preserve"> identifies eight core surgical procedures that form the foundation of clinical wound management. These procedures are not merely physical maneuvers but are supported by a rigorous pharmacological framework designed to intervene at specific stages of tissue pathology.</w:t>
      </w:r>
    </w:p>
    <w:p>
      <w:pPr>
        <w:pStyle w:val="Normal"/>
      </w:pPr>
      <w:r>
        <w:rPr>
          <w:b/>
          <w:bCs/>
        </w:rPr>
        <w:t xml:space="preserve">2.1 Vimlapana</w:t>
      </w:r>
      <w:r>
        <w:rPr>
          <w:b/>
          <w:bCs/>
          <w:vertAlign w:val="superscript"/>
        </w:rPr>
        <w:t xml:space="preserve">4</w:t>
      </w:r>
    </w:p>
    <w:p>
      <w:pPr>
        <w:pStyle w:val="Normal"/>
      </w:pPr>
      <w:r>
        <w:t xml:space="preserve">In the surgical hierarchy of </w:t>
      </w:r>
      <w:r>
        <w:rPr>
          <w:i/>
          <w:iCs/>
        </w:rPr>
        <w:t xml:space="preserve">Ashta-Upakramas</w:t>
      </w:r>
      <w:r>
        <w:t xml:space="preserve">, </w:t>
      </w:r>
      <w:r>
        <w:rPr>
          <w:i/>
          <w:iCs/>
        </w:rPr>
        <w:t xml:space="preserve">Vimlapana</w:t>
      </w:r>
      <w:r>
        <w:t xml:space="preserve"> functions as the first-line intervention to achieve </w:t>
      </w:r>
      <w:r>
        <w:rPr>
          <w:i/>
          <w:iCs/>
        </w:rPr>
        <w:t xml:space="preserve">Shotha-Vilayana</w:t>
      </w:r>
      <w:r>
        <w:t xml:space="preserve"> while the pathology is strictly in the </w:t>
      </w:r>
      <w:r>
        <w:rPr>
          <w:i/>
          <w:iCs/>
        </w:rPr>
        <w:t xml:space="preserve">Amavastha</w:t>
      </w:r>
      <w:r>
        <w:t xml:space="preserve">. Unlike invasive maneuvers such as </w:t>
      </w:r>
      <w:r>
        <w:rPr>
          <w:i/>
          <w:iCs/>
        </w:rPr>
        <w:t xml:space="preserve">Visravana</w:t>
      </w:r>
      <w:r>
        <w:t xml:space="preserve"> or </w:t>
      </w:r>
      <w:r>
        <w:rPr>
          <w:i/>
          <w:iCs/>
        </w:rPr>
        <w:t xml:space="preserve">Patana</w:t>
      </w:r>
      <w:r>
        <w:t xml:space="preserve">, </w:t>
      </w:r>
      <w:r>
        <w:rPr>
          <w:i/>
          <w:iCs/>
        </w:rPr>
        <w:t xml:space="preserve">Vimlapana</w:t>
      </w:r>
      <w:r>
        <w:t xml:space="preserve"> relies on the topical use of specific drug combinations to pharmacologically arrest the inflammatory cascade. The clinical objective is to prevent the transition of a swelling into </w:t>
      </w:r>
      <w:r>
        <w:rPr>
          <w:i/>
          <w:iCs/>
        </w:rPr>
        <w:t xml:space="preserve">Pakavastha</w:t>
      </w:r>
      <w:r>
        <w:t xml:space="preserve">, thereby ensuring resolution without tissue destruction. This stage-specific approach proves that classical surgery prioritized biological modulation before resorting to physical disruption.</w:t>
      </w:r>
    </w:p>
    <w:p>
      <w:pPr>
        <w:pStyle w:val="Normal"/>
      </w:pPr>
      <w:r>
        <w:t xml:space="preserve">The </w:t>
      </w:r>
      <w:r>
        <w:rPr>
          <w:i/>
          <w:iCs/>
        </w:rPr>
        <w:t xml:space="preserve">Mishraka Adhyaya</w:t>
      </w:r>
      <w:r>
        <w:t xml:space="preserve"> categorizes these formulations based on the dominant </w:t>
      </w:r>
      <w:r>
        <w:rPr>
          <w:i/>
          <w:iCs/>
        </w:rPr>
        <w:t xml:space="preserve">Dosha</w:t>
      </w:r>
      <w:r>
        <w:t xml:space="preserve"> to precisely modulate the wound micro-environment:</w:t>
      </w:r>
    </w:p>
    <w:p>
      <w:pPr>
        <w:pStyle w:val="ListParagraph"/>
        <w:numPr>
          <w:ilvl w:val="0"/>
          <w:numId w:val="1"/>
        </w:numPr>
      </w:pPr>
      <w:r>
        <w:rPr>
          <w:i/>
          <w:iCs/>
        </w:rPr>
        <w:t xml:space="preserve">Vataja Shotha</w:t>
      </w:r>
      <w:r>
        <w:t xml:space="preserve">: The application comprises </w:t>
      </w:r>
      <w:r>
        <w:rPr>
          <w:i/>
          <w:iCs/>
        </w:rPr>
        <w:t xml:space="preserve">Matulunga</w:t>
      </w:r>
      <w:r>
        <w:t xml:space="preserve"> (</w:t>
      </w:r>
      <w:r>
        <w:rPr>
          <w:i/>
          <w:iCs/>
        </w:rPr>
        <w:t xml:space="preserve">Citrus medica</w:t>
      </w:r>
      <w:r>
        <w:t xml:space="preserve">), </w:t>
      </w:r>
      <w:r>
        <w:rPr>
          <w:i/>
          <w:iCs/>
        </w:rPr>
        <w:t xml:space="preserve">Agnimantha</w:t>
      </w:r>
      <w:r>
        <w:t xml:space="preserve"> (</w:t>
      </w:r>
      <w:r>
        <w:rPr>
          <w:i/>
          <w:iCs/>
        </w:rPr>
        <w:t xml:space="preserve">Premna integrifolia</w:t>
      </w:r>
      <w:r>
        <w:t xml:space="preserve">), </w:t>
      </w:r>
      <w:r>
        <w:rPr>
          <w:i/>
          <w:iCs/>
        </w:rPr>
        <w:t xml:space="preserve">Bhadradaru</w:t>
      </w:r>
      <w:r>
        <w:t xml:space="preserve"> (</w:t>
      </w:r>
      <w:r>
        <w:rPr>
          <w:i/>
          <w:iCs/>
        </w:rPr>
        <w:t xml:space="preserve">Cedrus deodara</w:t>
      </w:r>
      <w:r>
        <w:t xml:space="preserve">), </w:t>
      </w:r>
      <w:r>
        <w:rPr>
          <w:i/>
          <w:iCs/>
        </w:rPr>
        <w:t xml:space="preserve">Mahoushadha</w:t>
      </w:r>
      <w:r>
        <w:t xml:space="preserve"> (</w:t>
      </w:r>
      <w:r>
        <w:rPr>
          <w:i/>
          <w:iCs/>
        </w:rPr>
        <w:t xml:space="preserve">Zingiber officinale</w:t>
      </w:r>
      <w:r>
        <w:t xml:space="preserve">), </w:t>
      </w:r>
      <w:r>
        <w:rPr>
          <w:i/>
          <w:iCs/>
        </w:rPr>
        <w:t xml:space="preserve">Ahimsra</w:t>
      </w:r>
      <w:r>
        <w:t xml:space="preserve"> (</w:t>
      </w:r>
      <w:r>
        <w:rPr>
          <w:i/>
          <w:iCs/>
        </w:rPr>
        <w:t xml:space="preserve">Capparis zeylanica</w:t>
      </w:r>
      <w:r>
        <w:t xml:space="preserve">), and </w:t>
      </w:r>
      <w:r>
        <w:rPr>
          <w:i/>
          <w:iCs/>
        </w:rPr>
        <w:t xml:space="preserve">Rasna</w:t>
      </w:r>
      <w:r>
        <w:t xml:space="preserve"> (</w:t>
      </w:r>
      <w:r>
        <w:rPr>
          <w:i/>
          <w:iCs/>
        </w:rPr>
        <w:t xml:space="preserve">Pluchea lanceolata</w:t>
      </w:r>
      <w:r>
        <w:t xml:space="preserve">).</w:t>
      </w:r>
    </w:p>
    <w:p>
      <w:pPr>
        <w:pStyle w:val="ListParagraph"/>
        <w:numPr>
          <w:ilvl w:val="0"/>
          <w:numId w:val="1"/>
        </w:numPr>
      </w:pPr>
      <w:r>
        <w:rPr>
          <w:i/>
          <w:iCs/>
        </w:rPr>
        <w:t xml:space="preserve">Pittaja, Raktaja</w:t>
      </w:r>
      <w:r>
        <w:t xml:space="preserve">, and </w:t>
      </w:r>
      <w:r>
        <w:rPr>
          <w:i/>
          <w:iCs/>
        </w:rPr>
        <w:t xml:space="preserve">Agantuja Shotha</w:t>
      </w:r>
      <w:r>
        <w:t xml:space="preserve">: Formulations incorporate </w:t>
      </w:r>
      <w:r>
        <w:rPr>
          <w:i/>
          <w:iCs/>
        </w:rPr>
        <w:t xml:space="preserve">Durva</w:t>
      </w:r>
      <w:r>
        <w:t xml:space="preserve"> (</w:t>
      </w:r>
      <w:r>
        <w:rPr>
          <w:i/>
          <w:iCs/>
        </w:rPr>
        <w:t xml:space="preserve">Cynodon dactylon</w:t>
      </w:r>
      <w:r>
        <w:t xml:space="preserve">), </w:t>
      </w:r>
      <w:r>
        <w:rPr>
          <w:i/>
          <w:iCs/>
        </w:rPr>
        <w:t xml:space="preserve">Nalamoola, Madhuka</w:t>
      </w:r>
      <w:r>
        <w:t xml:space="preserve"> (</w:t>
      </w:r>
      <w:r>
        <w:rPr>
          <w:i/>
          <w:iCs/>
        </w:rPr>
        <w:t xml:space="preserve">Glycyrrhiza glabra</w:t>
      </w:r>
      <w:r>
        <w:t xml:space="preserve">), and </w:t>
      </w:r>
      <w:r>
        <w:rPr>
          <w:i/>
          <w:iCs/>
        </w:rPr>
        <w:t xml:space="preserve">Chandana</w:t>
      </w:r>
      <w:r>
        <w:t xml:space="preserve"> (</w:t>
      </w:r>
      <w:r>
        <w:rPr>
          <w:i/>
          <w:iCs/>
        </w:rPr>
        <w:t xml:space="preserve">Santalum album</w:t>
      </w:r>
      <w:r>
        <w:t xml:space="preserve">), integrated with </w:t>
      </w:r>
      <w:r>
        <w:rPr>
          <w:i/>
          <w:iCs/>
        </w:rPr>
        <w:t xml:space="preserve">Sheeta Ganas</w:t>
      </w:r>
      <w:r>
        <w:t xml:space="preserve"> such as </w:t>
      </w:r>
      <w:r>
        <w:rPr>
          <w:i/>
          <w:iCs/>
        </w:rPr>
        <w:t xml:space="preserve">Kakolyadi</w:t>
      </w:r>
      <w:r>
        <w:t xml:space="preserve">, </w:t>
      </w:r>
      <w:r>
        <w:rPr>
          <w:i/>
          <w:iCs/>
        </w:rPr>
        <w:t xml:space="preserve">Utpaladi</w:t>
      </w:r>
      <w:r>
        <w:t xml:space="preserve">, and </w:t>
      </w:r>
      <w:r>
        <w:rPr>
          <w:i/>
          <w:iCs/>
        </w:rPr>
        <w:t xml:space="preserve">Nyagrodhadi</w:t>
      </w:r>
      <w:r>
        <w:t xml:space="preserve">.</w:t>
      </w:r>
    </w:p>
    <w:p>
      <w:pPr>
        <w:pStyle w:val="ListParagraph"/>
        <w:numPr>
          <w:ilvl w:val="0"/>
          <w:numId w:val="1"/>
        </w:numPr>
      </w:pPr>
      <w:r>
        <w:rPr>
          <w:i/>
          <w:iCs/>
        </w:rPr>
        <w:t xml:space="preserve">Kaphaja Shotha</w:t>
      </w:r>
      <w:r>
        <w:t xml:space="preserve">: The cluster utilizes </w:t>
      </w:r>
      <w:r>
        <w:rPr>
          <w:i/>
          <w:iCs/>
        </w:rPr>
        <w:t xml:space="preserve">Ajagandha, Ashwagandha</w:t>
      </w:r>
      <w:r>
        <w:t xml:space="preserve"> (</w:t>
      </w:r>
      <w:r>
        <w:rPr>
          <w:i/>
          <w:iCs/>
        </w:rPr>
        <w:t xml:space="preserve">Withania somnifera</w:t>
      </w:r>
      <w:r>
        <w:t xml:space="preserve">), </w:t>
      </w:r>
      <w:r>
        <w:rPr>
          <w:i/>
          <w:iCs/>
        </w:rPr>
        <w:t xml:space="preserve">Kala, Sarala, Ekaishika</w:t>
      </w:r>
      <w:r>
        <w:t xml:space="preserve">, and </w:t>
      </w:r>
      <w:r>
        <w:rPr>
          <w:i/>
          <w:iCs/>
        </w:rPr>
        <w:t xml:space="preserve">Ajashringi</w:t>
      </w:r>
      <w:r>
        <w:t xml:space="preserve"> (</w:t>
      </w:r>
      <w:r>
        <w:rPr>
          <w:i/>
          <w:iCs/>
        </w:rPr>
        <w:t xml:space="preserve">Pistacia integerrima</w:t>
      </w:r>
      <w:r>
        <w:t xml:space="preserve">).</w:t>
      </w:r>
    </w:p>
    <w:p>
      <w:pPr>
        <w:pStyle w:val="ListParagraph"/>
        <w:numPr>
          <w:ilvl w:val="0"/>
          <w:numId w:val="1"/>
        </w:numPr>
      </w:pPr>
      <w:r>
        <w:rPr>
          <w:i/>
          <w:iCs/>
        </w:rPr>
        <w:t xml:space="preserve">Sannipataja Shotha</w:t>
      </w:r>
      <w:r>
        <w:t xml:space="preserve">: A broad-spectrum paste incorporating the aforementioned groups is supplemented with </w:t>
      </w:r>
      <w:r>
        <w:rPr>
          <w:i/>
          <w:iCs/>
        </w:rPr>
        <w:t xml:space="preserve">Lodhra</w:t>
      </w:r>
      <w:r>
        <w:t xml:space="preserve"> (</w:t>
      </w:r>
      <w:r>
        <w:rPr>
          <w:i/>
          <w:iCs/>
        </w:rPr>
        <w:t xml:space="preserve">Symplocos racemosa</w:t>
      </w:r>
      <w:r>
        <w:t xml:space="preserve">), </w:t>
      </w:r>
      <w:r>
        <w:rPr>
          <w:i/>
          <w:iCs/>
        </w:rPr>
        <w:t xml:space="preserve">Pathya</w:t>
      </w:r>
      <w:r>
        <w:t xml:space="preserve"> (</w:t>
      </w:r>
      <w:r>
        <w:rPr>
          <w:i/>
          <w:iCs/>
        </w:rPr>
        <w:t xml:space="preserve">Terminalia chebula</w:t>
      </w:r>
      <w:r>
        <w:t xml:space="preserve">), </w:t>
      </w:r>
      <w:r>
        <w:rPr>
          <w:i/>
          <w:iCs/>
        </w:rPr>
        <w:t xml:space="preserve">Pinditaka</w:t>
      </w:r>
      <w:r>
        <w:t xml:space="preserve"> (</w:t>
      </w:r>
      <w:r>
        <w:rPr>
          <w:i/>
          <w:iCs/>
        </w:rPr>
        <w:t xml:space="preserve">Randia dumetorum</w:t>
      </w:r>
      <w:r>
        <w:t xml:space="preserve">), and </w:t>
      </w:r>
      <w:r>
        <w:rPr>
          <w:i/>
          <w:iCs/>
        </w:rPr>
        <w:t xml:space="preserve">Ananta</w:t>
      </w:r>
      <w:r>
        <w:t xml:space="preserve"> (</w:t>
      </w:r>
      <w:r>
        <w:rPr>
          <w:i/>
          <w:iCs/>
        </w:rPr>
        <w:t xml:space="preserve">Hemidesmus indicus</w:t>
      </w:r>
      <w:r>
        <w:t xml:space="preserve">).</w:t>
      </w:r>
    </w:p>
    <w:p>
      <w:pPr>
        <w:pStyle w:val="Normal"/>
      </w:pPr>
      <w:r>
        <w:t xml:space="preserve">The clinical success of </w:t>
      </w:r>
      <w:r>
        <w:rPr>
          <w:i/>
          <w:iCs/>
        </w:rPr>
        <w:t xml:space="preserve">Vimlapana</w:t>
      </w:r>
      <w:r>
        <w:t xml:space="preserve"> is contingent upon strict adherence to the </w:t>
      </w:r>
      <w:r>
        <w:rPr>
          <w:i/>
          <w:iCs/>
        </w:rPr>
        <w:t xml:space="preserve">Yathalabham</w:t>
      </w:r>
      <w:r>
        <w:t xml:space="preserve"> principle and proper timing. Applying these </w:t>
      </w:r>
      <w:r>
        <w:rPr>
          <w:i/>
          <w:iCs/>
        </w:rPr>
        <w:t xml:space="preserve">Pralepas</w:t>
      </w:r>
      <w:r>
        <w:t xml:space="preserve"> during the </w:t>
      </w:r>
      <w:r>
        <w:rPr>
          <w:i/>
          <w:iCs/>
        </w:rPr>
        <w:t xml:space="preserve">Amavastha</w:t>
      </w:r>
      <w:r>
        <w:t xml:space="preserve"> allows for </w:t>
      </w:r>
      <w:r>
        <w:rPr>
          <w:i/>
          <w:iCs/>
        </w:rPr>
        <w:t xml:space="preserve">Srotas-Shodhana</w:t>
      </w:r>
      <w:r>
        <w:t xml:space="preserve">—the clearing of micro-channels.</w:t>
      </w:r>
    </w:p>
    <w:p>
      <w:pPr>
        <w:pStyle w:val="Normal"/>
      </w:pPr>
      <w:r>
        <w:t xml:space="preserve">By neutralizing the localized vitiation of </w:t>
      </w:r>
      <w:r>
        <w:rPr>
          <w:i/>
          <w:iCs/>
        </w:rPr>
        <w:t xml:space="preserve">Doshas</w:t>
      </w:r>
      <w:r>
        <w:t xml:space="preserve"> through targeted pharmacology, the surgeon effectively bypasses the need for more invasive procedures. This underscores Sushruta's philosophy that surgical excellence is as much about pharmacological prevention as it is about mechanical expertise.</w:t>
      </w:r>
    </w:p>
    <w:p>
      <w:pPr>
        <w:pStyle w:val="Normal"/>
      </w:pPr>
      <w:r>
        <w:rPr>
          <w:b/>
          <w:bCs/>
        </w:rPr>
        <w:t xml:space="preserve">2.2 Pachana</w:t>
      </w:r>
      <w:r>
        <w:rPr>
          <w:b/>
          <w:bCs/>
          <w:vertAlign w:val="superscript"/>
        </w:rPr>
        <w:t xml:space="preserve">5</w:t>
      </w:r>
    </w:p>
    <w:p>
      <w:pPr>
        <w:pStyle w:val="Normal"/>
      </w:pPr>
      <w:r>
        <w:t xml:space="preserve">When inflammatory resolution is no longer viable, the surgical objective shifts to </w:t>
      </w:r>
      <w:r>
        <w:rPr>
          <w:i/>
          <w:iCs/>
        </w:rPr>
        <w:t xml:space="preserve">Pachana</w:t>
      </w:r>
      <w:r>
        <w:t xml:space="preserve">-the deliberate acceleration of the inflammatory cascade to transition a swelling from the </w:t>
      </w:r>
      <w:r>
        <w:rPr>
          <w:i/>
          <w:iCs/>
        </w:rPr>
        <w:t xml:space="preserve">Amavastha</w:t>
      </w:r>
      <w:r>
        <w:t xml:space="preserve"> to the </w:t>
      </w:r>
      <w:r>
        <w:rPr>
          <w:i/>
          <w:iCs/>
        </w:rPr>
        <w:t xml:space="preserve">Pakvastha</w:t>
      </w:r>
      <w:r>
        <w:t xml:space="preserve">. This ensures the abscess reaches a stage where it can be safely and completely evacuated. The pharmacological logic centres on increasing localized </w:t>
      </w:r>
      <w:r>
        <w:rPr>
          <w:i/>
          <w:iCs/>
        </w:rPr>
        <w:t xml:space="preserve">Ushma</w:t>
      </w:r>
      <w:r>
        <w:t xml:space="preserve"> through </w:t>
      </w:r>
      <w:r>
        <w:rPr>
          <w:i/>
          <w:iCs/>
        </w:rPr>
        <w:t xml:space="preserve">Ushna-Virya</w:t>
      </w:r>
      <w:r>
        <w:t xml:space="preserve"> drugs. The core cluster utilizes the seeds and fruits of </w:t>
      </w:r>
      <w:r>
        <w:rPr>
          <w:i/>
          <w:iCs/>
        </w:rPr>
        <w:t xml:space="preserve">Shana</w:t>
      </w:r>
      <w:r>
        <w:t xml:space="preserve"> (</w:t>
      </w:r>
      <w:r>
        <w:rPr>
          <w:i/>
          <w:iCs/>
        </w:rPr>
        <w:t xml:space="preserve">Crotalaria juncea</w:t>
      </w:r>
      <w:r>
        <w:t xml:space="preserve">), </w:t>
      </w:r>
      <w:r>
        <w:rPr>
          <w:i/>
          <w:iCs/>
        </w:rPr>
        <w:t xml:space="preserve">Moolaka</w:t>
      </w:r>
      <w:r>
        <w:t xml:space="preserve"> (</w:t>
      </w:r>
      <w:r>
        <w:rPr>
          <w:i/>
          <w:iCs/>
        </w:rPr>
        <w:t xml:space="preserve">Raphanus sativus</w:t>
      </w:r>
      <w:r>
        <w:t xml:space="preserve">), and </w:t>
      </w:r>
      <w:r>
        <w:rPr>
          <w:i/>
          <w:iCs/>
        </w:rPr>
        <w:t xml:space="preserve">Shigru</w:t>
      </w:r>
      <w:r>
        <w:t xml:space="preserve"> (</w:t>
      </w:r>
      <w:r>
        <w:rPr>
          <w:i/>
          <w:iCs/>
        </w:rPr>
        <w:t xml:space="preserve">Moringa oleifera</w:t>
      </w:r>
      <w:r>
        <w:t xml:space="preserve">), combined with the lipid bases of </w:t>
      </w:r>
      <w:r>
        <w:rPr>
          <w:i/>
          <w:iCs/>
        </w:rPr>
        <w:t xml:space="preserve">Tila</w:t>
      </w:r>
      <w:r>
        <w:t xml:space="preserve"> (</w:t>
      </w:r>
      <w:r>
        <w:rPr>
          <w:i/>
          <w:iCs/>
        </w:rPr>
        <w:t xml:space="preserve">Sesamum indicum</w:t>
      </w:r>
      <w:r>
        <w:t xml:space="preserve">) and </w:t>
      </w:r>
      <w:r>
        <w:rPr>
          <w:i/>
          <w:iCs/>
        </w:rPr>
        <w:t xml:space="preserve">Sarshapa</w:t>
      </w:r>
      <w:r>
        <w:t xml:space="preserve"> (</w:t>
      </w:r>
      <w:r>
        <w:rPr>
          <w:i/>
          <w:iCs/>
        </w:rPr>
        <w:t xml:space="preserve">Brassica campestris</w:t>
      </w:r>
      <w:r>
        <w:t xml:space="preserve">) to stimulate blood flow. </w:t>
      </w:r>
      <w:r>
        <w:rPr>
          <w:i/>
          <w:iCs/>
        </w:rPr>
        <w:t xml:space="preserve">Atasi</w:t>
      </w:r>
      <w:r>
        <w:t xml:space="preserve"> (</w:t>
      </w:r>
      <w:r>
        <w:rPr>
          <w:i/>
          <w:iCs/>
        </w:rPr>
        <w:t xml:space="preserve">Linum usitatissimum</w:t>
      </w:r>
      <w:r>
        <w:t xml:space="preserve">) and </w:t>
      </w:r>
      <w:r>
        <w:rPr>
          <w:i/>
          <w:iCs/>
        </w:rPr>
        <w:t xml:space="preserve">Kinva</w:t>
      </w:r>
      <w:r>
        <w:t xml:space="preserve"> (fermenting enzymes) act as biological catalysts to speed up tissue breakdown.</w:t>
      </w:r>
    </w:p>
    <w:p>
      <w:pPr>
        <w:pStyle w:val="Normal"/>
      </w:pPr>
      <w:r>
        <w:t xml:space="preserve">A unique feature of this protocol is the inclusion of </w:t>
      </w:r>
      <w:r>
        <w:rPr>
          <w:i/>
          <w:iCs/>
        </w:rPr>
        <w:t xml:space="preserve">Saktu</w:t>
      </w:r>
      <w:r>
        <w:t xml:space="preserve"> (roasted barley flour). Though inherently </w:t>
      </w:r>
      <w:r>
        <w:rPr>
          <w:i/>
          <w:iCs/>
        </w:rPr>
        <w:t xml:space="preserve">Sheeta</w:t>
      </w:r>
      <w:r>
        <w:t xml:space="preserve">, it acts as a suppurative agent through </w:t>
      </w:r>
      <w:r>
        <w:rPr>
          <w:i/>
          <w:iCs/>
        </w:rPr>
        <w:t xml:space="preserve">Samyoga-Vishesha</w:t>
      </w:r>
      <w:r>
        <w:t xml:space="preserve">. In this matrix, </w:t>
      </w:r>
      <w:r>
        <w:rPr>
          <w:i/>
          <w:iCs/>
        </w:rPr>
        <w:t xml:space="preserve">Saktu</w:t>
      </w:r>
      <w:r>
        <w:t xml:space="preserve"> stabilizes the paste, allowing the thermogenic drugs to focus their energy on the abscess core rather than damaging surrounding healthy tissues.</w:t>
      </w:r>
    </w:p>
    <w:p>
      <w:pPr>
        <w:pStyle w:val="Normal"/>
      </w:pPr>
      <w:r>
        <w:rPr>
          <w:b/>
          <w:bCs/>
        </w:rPr>
        <w:t xml:space="preserve">2.3 Darana</w:t>
      </w:r>
      <w:r>
        <w:rPr>
          <w:b/>
          <w:bCs/>
          <w:vertAlign w:val="superscript"/>
        </w:rPr>
        <w:t xml:space="preserve">6</w:t>
      </w:r>
    </w:p>
    <w:p>
      <w:pPr>
        <w:pStyle w:val="Normal"/>
      </w:pPr>
      <w:r>
        <w:t xml:space="preserve">When an abscess reaches full maturity i.e., </w:t>
      </w:r>
      <w:r>
        <w:rPr>
          <w:i/>
          <w:iCs/>
        </w:rPr>
        <w:t xml:space="preserve">Pakavastha</w:t>
      </w:r>
      <w:r>
        <w:t xml:space="preserve"> but requires assistance to rupture, </w:t>
      </w:r>
      <w:r>
        <w:rPr>
          <w:i/>
          <w:iCs/>
        </w:rPr>
        <w:t xml:space="preserve">Sushruta</w:t>
      </w:r>
      <w:r>
        <w:t xml:space="preserve"> advocates for </w:t>
      </w:r>
      <w:r>
        <w:rPr>
          <w:i/>
          <w:iCs/>
        </w:rPr>
        <w:t xml:space="preserve">Darana</w:t>
      </w:r>
      <w:r>
        <w:t xml:space="preserve">—a method of "pharmacological dissection." This procedure is a strategic alternative to mechanical incision </w:t>
      </w:r>
      <w:r>
        <w:rPr>
          <w:i/>
          <w:iCs/>
        </w:rPr>
        <w:t xml:space="preserve">Patana</w:t>
      </w:r>
      <w:r>
        <w:t xml:space="preserve"> (mechanical incision), particularly for patients who are unfit for surgery, such as children, the elderly, or those with a significant fear of blades (</w:t>
      </w:r>
      <w:r>
        <w:rPr>
          <w:i/>
          <w:iCs/>
        </w:rPr>
        <w:t xml:space="preserve">Shastrabhiru</w:t>
      </w:r>
      <w:r>
        <w:t xml:space="preserve">). The objective is to use localized pharmacological energy to dissolve the skin barrier and facilitate the spontaneous evacuation of pus.</w:t>
      </w:r>
    </w:p>
    <w:p>
      <w:pPr>
        <w:pStyle w:val="Normal"/>
      </w:pPr>
      <w:r>
        <w:t xml:space="preserve">The formulations for </w:t>
      </w:r>
      <w:r>
        <w:rPr>
          <w:i/>
          <w:iCs/>
        </w:rPr>
        <w:t xml:space="preserve">Darana</w:t>
      </w:r>
      <w:r>
        <w:t xml:space="preserve"> are categorized by their intensity. For sensitive or "mild" (</w:t>
      </w:r>
      <w:r>
        <w:rPr>
          <w:i/>
          <w:iCs/>
        </w:rPr>
        <w:t xml:space="preserve">Sukumara</w:t>
      </w:r>
      <w:r>
        <w:t xml:space="preserve">) applications, the excreta of birds like the </w:t>
      </w:r>
      <w:r>
        <w:rPr>
          <w:i/>
          <w:iCs/>
        </w:rPr>
        <w:t xml:space="preserve">Kapota</w:t>
      </w:r>
      <w:r>
        <w:t xml:space="preserve"> (pigeon) and </w:t>
      </w:r>
      <w:r>
        <w:rPr>
          <w:i/>
          <w:iCs/>
        </w:rPr>
        <w:t xml:space="preserve">Gridhra</w:t>
      </w:r>
      <w:r>
        <w:t xml:space="preserve"> (vulture) are used; these act as enzymatic catalysts that gradually soften the epidermis. For a more decisive "chemical incision," the text identifies Kshara as the superior agent. This is supplemented by potent botanical irritants including Danti (</w:t>
      </w:r>
      <w:r>
        <w:rPr>
          <w:i/>
          <w:iCs/>
        </w:rPr>
        <w:t xml:space="preserve">Baliospermum montanum</w:t>
      </w:r>
      <w:r>
        <w:t xml:space="preserve">), Chitraka (</w:t>
      </w:r>
      <w:r>
        <w:rPr>
          <w:i/>
          <w:iCs/>
        </w:rPr>
        <w:t xml:space="preserve">Plumbago zeylanica</w:t>
      </w:r>
      <w:r>
        <w:t xml:space="preserve">), Chirabilva (</w:t>
      </w:r>
      <w:r>
        <w:rPr>
          <w:i/>
          <w:iCs/>
        </w:rPr>
        <w:t xml:space="preserve">Holoptelea integrifolia</w:t>
      </w:r>
      <w:r>
        <w:t xml:space="preserve">), Hayamara (</w:t>
      </w:r>
      <w:r>
        <w:rPr>
          <w:i/>
          <w:iCs/>
        </w:rPr>
        <w:t xml:space="preserve">Nerium indicum</w:t>
      </w:r>
      <w:r>
        <w:t xml:space="preserve">), and Agnika (</w:t>
      </w:r>
      <w:r>
        <w:rPr>
          <w:i/>
          <w:iCs/>
        </w:rPr>
        <w:t xml:space="preserve">Gloriosa superba</w:t>
      </w:r>
      <w:r>
        <w:t xml:space="preserve">).</w:t>
      </w:r>
    </w:p>
    <w:p>
      <w:pPr>
        <w:pStyle w:val="Normal"/>
      </w:pPr>
      <w:r>
        <w:t xml:space="preserve">From a modern pathological perspective, these agents function through localized tissue dissolution—utilizing alkaline hydrolysis (from </w:t>
      </w:r>
      <w:r>
        <w:rPr>
          <w:i/>
          <w:iCs/>
        </w:rPr>
        <w:t xml:space="preserve">Kshara</w:t>
      </w:r>
      <w:r>
        <w:t xml:space="preserve">) and irritant metabolites like phorbol esters and colchicine to breach the abscess wall. By modulating the choice of drug, the surgeon achieves the primary goal of drainage without the psychological or physiological trauma of a mechanical blade.</w:t>
      </w:r>
    </w:p>
    <w:p>
      <w:pPr>
        <w:pStyle w:val="Normal"/>
      </w:pPr>
      <w:r>
        <w:rPr>
          <w:b/>
          <w:bCs/>
        </w:rPr>
        <w:t xml:space="preserve">2.4 Pidana</w:t>
      </w:r>
      <w:r>
        <w:rPr>
          <w:b/>
          <w:bCs/>
          <w:vertAlign w:val="superscript"/>
        </w:rPr>
        <w:t xml:space="preserve">7</w:t>
      </w:r>
    </w:p>
    <w:p>
      <w:pPr>
        <w:pStyle w:val="Normal"/>
      </w:pPr>
      <w:r>
        <w:rPr>
          <w:i/>
          <w:iCs/>
        </w:rPr>
        <w:t xml:space="preserve">Vrana-Pidana</w:t>
      </w:r>
      <w:r>
        <w:t xml:space="preserve"> refers to the surgical technique of "compressive evacuation," specifically indicated for abscesses with a </w:t>
      </w:r>
      <w:r>
        <w:rPr>
          <w:i/>
          <w:iCs/>
        </w:rPr>
        <w:t xml:space="preserve">Sukshma-mukha</w:t>
      </w:r>
      <w:r>
        <w:t xml:space="preserve"> or those located near </w:t>
      </w:r>
      <w:r>
        <w:rPr>
          <w:i/>
          <w:iCs/>
        </w:rPr>
        <w:t xml:space="preserve">Marma</w:t>
      </w:r>
      <w:r>
        <w:t xml:space="preserve"> where manual drainage is contraindicated. Unlike active suction or incision, </w:t>
      </w:r>
      <w:r>
        <w:rPr>
          <w:i/>
          <w:iCs/>
        </w:rPr>
        <w:t xml:space="preserve">Pidana</w:t>
      </w:r>
      <w:r>
        <w:t xml:space="preserve"> utilizes the physical properties of </w:t>
      </w:r>
      <w:r>
        <w:rPr>
          <w:i/>
          <w:iCs/>
        </w:rPr>
        <w:t xml:space="preserve">Picchila</w:t>
      </w:r>
      <w:r>
        <w:t xml:space="preserve"> </w:t>
      </w:r>
      <w:r>
        <w:rPr>
          <w:i/>
          <w:iCs/>
        </w:rPr>
        <w:t xml:space="preserve">lepa</w:t>
      </w:r>
      <w:r>
        <w:t xml:space="preserve"> to mechanically force the discharge of </w:t>
      </w:r>
      <w:r>
        <w:rPr>
          <w:i/>
          <w:iCs/>
        </w:rPr>
        <w:t xml:space="preserve">Puya-sanchaya(</w:t>
      </w:r>
      <w:r>
        <w:t xml:space="preserve">pus in-situ). The formulations rely on botanical agents rich in natural hydrocolloids, such as the bark of </w:t>
      </w:r>
      <w:r>
        <w:rPr>
          <w:i/>
          <w:iCs/>
        </w:rPr>
        <w:t xml:space="preserve">Shalmali</w:t>
      </w:r>
      <w:r>
        <w:t xml:space="preserve"> (</w:t>
      </w:r>
      <w:r>
        <w:rPr>
          <w:i/>
          <w:iCs/>
        </w:rPr>
        <w:t xml:space="preserve">Bombax ceiba</w:t>
      </w:r>
      <w:r>
        <w:t xml:space="preserve">), </w:t>
      </w:r>
      <w:r>
        <w:rPr>
          <w:i/>
          <w:iCs/>
        </w:rPr>
        <w:t xml:space="preserve">Shelu</w:t>
      </w:r>
      <w:r>
        <w:t xml:space="preserve"> (</w:t>
      </w:r>
      <w:r>
        <w:rPr>
          <w:i/>
          <w:iCs/>
        </w:rPr>
        <w:t xml:space="preserve">Cordia dichotoma</w:t>
      </w:r>
      <w:r>
        <w:t xml:space="preserve">), and </w:t>
      </w:r>
      <w:r>
        <w:rPr>
          <w:i/>
          <w:iCs/>
        </w:rPr>
        <w:t xml:space="preserve">Vata</w:t>
      </w:r>
      <w:r>
        <w:t xml:space="preserve"> (</w:t>
      </w:r>
      <w:r>
        <w:rPr>
          <w:i/>
          <w:iCs/>
        </w:rPr>
        <w:t xml:space="preserve">Ficus benghalensis</w:t>
      </w:r>
      <w:r>
        <w:t xml:space="preserve">), which are blended with finely ground flours of </w:t>
      </w:r>
      <w:r>
        <w:rPr>
          <w:i/>
          <w:iCs/>
        </w:rPr>
        <w:t xml:space="preserve">Yava</w:t>
      </w:r>
      <w:r>
        <w:t xml:space="preserve"> (Barley), </w:t>
      </w:r>
      <w:r>
        <w:rPr>
          <w:i/>
          <w:iCs/>
        </w:rPr>
        <w:t xml:space="preserve">Godhuma</w:t>
      </w:r>
      <w:r>
        <w:t xml:space="preserve"> (Wheat), and </w:t>
      </w:r>
      <w:r>
        <w:rPr>
          <w:i/>
          <w:iCs/>
        </w:rPr>
        <w:t xml:space="preserve">Masha</w:t>
      </w:r>
      <w:r>
        <w:t xml:space="preserve"> (Black gram) to create a high-density structural matrix.</w:t>
      </w:r>
    </w:p>
    <w:p>
      <w:pPr>
        <w:pStyle w:val="Normal"/>
      </w:pPr>
      <w:r>
        <w:t xml:space="preserve">The therapeutic action of this protocol is a purely mechanical pharmacological process. A thick layer of the paste is applied circumferentially around the wound, intentionally leaving the </w:t>
      </w:r>
      <w:r>
        <w:rPr>
          <w:i/>
          <w:iCs/>
        </w:rPr>
        <w:t xml:space="preserve">Vrana-mukha</w:t>
      </w:r>
      <w:r>
        <w:t xml:space="preserve"> (orifice) open and exposed. As the paste undergoes evaporation and dehydrates, it experiences significant volumetric shrinkage, creating a powerful centripetal force. This contraction physically compresses the underlying tissues and "squeezes" the internal collection of pus toward the open orifice. This non-traumatic evacuation ensures thorough drainage and preserves tissue integrity in anatomically sensitive areas without the need for invasive instruments.</w:t>
      </w:r>
    </w:p>
    <w:p>
      <w:pPr>
        <w:pStyle w:val="Normal"/>
      </w:pPr>
      <w:r>
        <w:rPr>
          <w:b/>
          <w:bCs/>
        </w:rPr>
        <w:t xml:space="preserve">2.5 Shodhana</w:t>
      </w:r>
      <w:r>
        <w:rPr>
          <w:b/>
          <w:bCs/>
          <w:vertAlign w:val="superscript"/>
        </w:rPr>
        <w:t xml:space="preserve">8</w:t>
      </w:r>
    </w:p>
    <w:p>
      <w:pPr>
        <w:pStyle w:val="Normal"/>
      </w:pPr>
      <w:r>
        <w:rPr>
          <w:i/>
          <w:iCs/>
        </w:rPr>
        <w:t xml:space="preserve">Vrana-Shodhana</w:t>
      </w:r>
      <w:r>
        <w:t xml:space="preserve"> represents the definitive stage of wound purification, aimed at removing exudative debris and necrotic tissue. The primary agents for this process include </w:t>
      </w:r>
      <w:r>
        <w:rPr>
          <w:i/>
          <w:iCs/>
        </w:rPr>
        <w:t xml:space="preserve">Shankhini</w:t>
      </w:r>
      <w:r>
        <w:t xml:space="preserve">, </w:t>
      </w:r>
      <w:r>
        <w:rPr>
          <w:i/>
          <w:iCs/>
        </w:rPr>
        <w:t xml:space="preserve">Ankotha, Sumana</w:t>
      </w:r>
      <w:r>
        <w:t xml:space="preserve"> (</w:t>
      </w:r>
      <w:r>
        <w:rPr>
          <w:i/>
          <w:iCs/>
        </w:rPr>
        <w:t xml:space="preserve">Jasminum grandiflorum</w:t>
      </w:r>
      <w:r>
        <w:t xml:space="preserve">), </w:t>
      </w:r>
      <w:r>
        <w:rPr>
          <w:i/>
          <w:iCs/>
        </w:rPr>
        <w:t xml:space="preserve">Karaveera</w:t>
      </w:r>
      <w:r>
        <w:t xml:space="preserve"> (</w:t>
      </w:r>
      <w:r>
        <w:rPr>
          <w:i/>
          <w:iCs/>
        </w:rPr>
        <w:t xml:space="preserve">Nerium indicum</w:t>
      </w:r>
      <w:r>
        <w:t xml:space="preserve">), and </w:t>
      </w:r>
      <w:r>
        <w:rPr>
          <w:i/>
          <w:iCs/>
        </w:rPr>
        <w:t xml:space="preserve">Suvarchala</w:t>
      </w:r>
      <w:r>
        <w:t xml:space="preserve">, along with the entire </w:t>
      </w:r>
      <w:r>
        <w:rPr>
          <w:i/>
          <w:iCs/>
        </w:rPr>
        <w:t xml:space="preserve">Aragvadhadi Gana</w:t>
      </w:r>
      <w:r>
        <w:t xml:space="preserve">. These drugs are primarily processed as </w:t>
      </w:r>
      <w:r>
        <w:rPr>
          <w:i/>
          <w:iCs/>
        </w:rPr>
        <w:t xml:space="preserve">Kashaya</w:t>
      </w:r>
      <w:r>
        <w:t xml:space="preserve"> to be used for irrigation and washing of the wound bed.</w:t>
      </w:r>
    </w:p>
    <w:p>
      <w:pPr>
        <w:pStyle w:val="Normal"/>
      </w:pPr>
      <w:r>
        <w:rPr>
          <w:i/>
          <w:iCs/>
        </w:rPr>
        <w:t xml:space="preserve">Dalhana</w:t>
      </w:r>
      <w:r>
        <w:t xml:space="preserve"> clarifies that while the </w:t>
      </w:r>
      <w:r>
        <w:rPr>
          <w:i/>
          <w:iCs/>
        </w:rPr>
        <w:t xml:space="preserve">Shloka</w:t>
      </w:r>
      <w:r>
        <w:t xml:space="preserve"> highlights these specific botanical agents, </w:t>
      </w:r>
      <w:r>
        <w:rPr>
          <w:i/>
          <w:iCs/>
        </w:rPr>
        <w:t xml:space="preserve">Shodhana</w:t>
      </w:r>
      <w:r>
        <w:t xml:space="preserve"> is executed through a sophisticated eight-fold delivery system: </w:t>
      </w:r>
      <w:r>
        <w:rPr>
          <w:i/>
          <w:iCs/>
        </w:rPr>
        <w:t xml:space="preserve">Kashaya</w:t>
      </w:r>
      <w:r>
        <w:t xml:space="preserve">, </w:t>
      </w:r>
      <w:r>
        <w:rPr>
          <w:i/>
          <w:iCs/>
        </w:rPr>
        <w:t xml:space="preserve">Varti, Kalka, Ghrita, Taila, Rasakriya, Churna,</w:t>
      </w:r>
      <w:r>
        <w:t xml:space="preserve"> and </w:t>
      </w:r>
      <w:r>
        <w:rPr>
          <w:i/>
          <w:iCs/>
        </w:rPr>
        <w:t xml:space="preserve">Dhupana</w:t>
      </w:r>
      <w:r>
        <w:t xml:space="preserve">. By utilizing the astringent and bitter properties of the aforementioned drugs across these eight modes, the surgeon ensures the thorough purification of the wound, preparing the tissue micro-environment for the final healing phase.</w:t>
      </w:r>
    </w:p>
    <w:p>
      <w:pPr>
        <w:pStyle w:val="Normal"/>
      </w:pPr>
      <w:r>
        <w:rPr>
          <w:b/>
          <w:bCs/>
        </w:rPr>
        <w:t xml:space="preserve">2.6 Shodhana Varti</w:t>
      </w:r>
      <w:r>
        <w:rPr>
          <w:b/>
          <w:bCs/>
          <w:vertAlign w:val="superscript"/>
        </w:rPr>
        <w:t xml:space="preserve">9</w:t>
      </w:r>
    </w:p>
    <w:p>
      <w:pPr>
        <w:pStyle w:val="Normal"/>
      </w:pPr>
      <w:r>
        <w:t xml:space="preserve">Following the use of decoctions, </w:t>
      </w:r>
      <w:r>
        <w:rPr>
          <w:i/>
          <w:iCs/>
        </w:rPr>
        <w:t xml:space="preserve">Sushruta</w:t>
      </w:r>
      <w:r>
        <w:t xml:space="preserve"> introduces </w:t>
      </w:r>
      <w:r>
        <w:rPr>
          <w:i/>
          <w:iCs/>
        </w:rPr>
        <w:t xml:space="preserve">Varti</w:t>
      </w:r>
      <w:r>
        <w:t xml:space="preserve"> (medicated wicks) as a specialized delivery system for deep-seated or tunneled wounds. These wicks are formulated using a potent blend of botanical and mineral agents designed for aggressive "scraping" and purification. The cluster includes </w:t>
      </w:r>
      <w:r>
        <w:rPr>
          <w:i/>
          <w:iCs/>
        </w:rPr>
        <w:t xml:space="preserve">Ajagandha, Ajashringi, Gavakshi</w:t>
      </w:r>
      <w:r>
        <w:t xml:space="preserve"> (</w:t>
      </w:r>
      <w:r>
        <w:rPr>
          <w:i/>
          <w:iCs/>
        </w:rPr>
        <w:t xml:space="preserve">Citrus colocynthis</w:t>
      </w:r>
      <w:r>
        <w:t xml:space="preserve">), </w:t>
      </w:r>
      <w:r>
        <w:rPr>
          <w:i/>
          <w:iCs/>
        </w:rPr>
        <w:t xml:space="preserve">Langala</w:t>
      </w:r>
      <w:r>
        <w:t xml:space="preserve"> (</w:t>
      </w:r>
      <w:r>
        <w:rPr>
          <w:i/>
          <w:iCs/>
        </w:rPr>
        <w:t xml:space="preserve">Gloriosa superba</w:t>
      </w:r>
      <w:r>
        <w:t xml:space="preserve">), </w:t>
      </w:r>
      <w:r>
        <w:rPr>
          <w:i/>
          <w:iCs/>
        </w:rPr>
        <w:t xml:space="preserve">Putika</w:t>
      </w:r>
      <w:r>
        <w:t xml:space="preserve"> (</w:t>
      </w:r>
      <w:r>
        <w:rPr>
          <w:i/>
          <w:iCs/>
        </w:rPr>
        <w:t xml:space="preserve">Holoptelea integrifolia</w:t>
      </w:r>
      <w:r>
        <w:t xml:space="preserve">), </w:t>
      </w:r>
      <w:r>
        <w:rPr>
          <w:i/>
          <w:iCs/>
        </w:rPr>
        <w:t xml:space="preserve">Chitraka</w:t>
      </w:r>
      <w:r>
        <w:t xml:space="preserve">(</w:t>
      </w:r>
      <w:r>
        <w:rPr>
          <w:i/>
          <w:iCs/>
        </w:rPr>
        <w:t xml:space="preserve">Plumbago zeylanica</w:t>
      </w:r>
      <w:r>
        <w:t xml:space="preserve">), </w:t>
      </w:r>
      <w:r>
        <w:rPr>
          <w:i/>
          <w:iCs/>
        </w:rPr>
        <w:t xml:space="preserve">Patha (Cissampelos pareira)</w:t>
      </w:r>
      <w:r>
        <w:t xml:space="preserve">, </w:t>
      </w:r>
      <w:r>
        <w:rPr>
          <w:i/>
          <w:iCs/>
        </w:rPr>
        <w:t xml:space="preserve">Vidanga</w:t>
      </w:r>
      <w:r>
        <w:t xml:space="preserve"> (</w:t>
      </w:r>
      <w:r>
        <w:rPr>
          <w:i/>
          <w:iCs/>
        </w:rPr>
        <w:t xml:space="preserve">Embelia ribes)</w:t>
      </w:r>
      <w:r>
        <w:t xml:space="preserve">, </w:t>
      </w:r>
      <w:r>
        <w:rPr>
          <w:i/>
          <w:iCs/>
        </w:rPr>
        <w:t xml:space="preserve">Ela</w:t>
      </w:r>
      <w:r>
        <w:t xml:space="preserve">(</w:t>
      </w:r>
      <w:r>
        <w:rPr>
          <w:i/>
          <w:iCs/>
        </w:rPr>
        <w:t xml:space="preserve">Elettaria cardamomum</w:t>
      </w:r>
      <w:r>
        <w:t xml:space="preserve">), and </w:t>
      </w:r>
      <w:r>
        <w:rPr>
          <w:i/>
          <w:iCs/>
        </w:rPr>
        <w:t xml:space="preserve">Harenuka</w:t>
      </w:r>
      <w:r>
        <w:t xml:space="preserve">, supplemented by </w:t>
      </w:r>
      <w:r>
        <w:rPr>
          <w:i/>
          <w:iCs/>
        </w:rPr>
        <w:t xml:space="preserve">Trivrita</w:t>
      </w:r>
      <w:r>
        <w:t xml:space="preserve">(</w:t>
      </w:r>
      <w:r>
        <w:rPr>
          <w:i/>
          <w:iCs/>
        </w:rPr>
        <w:t xml:space="preserve">Operculina turpethum)</w:t>
      </w:r>
      <w:r>
        <w:t xml:space="preserve"> and </w:t>
      </w:r>
      <w:r>
        <w:rPr>
          <w:i/>
          <w:iCs/>
        </w:rPr>
        <w:t xml:space="preserve">Danti</w:t>
      </w:r>
      <w:r>
        <w:t xml:space="preserve"> (</w:t>
      </w:r>
      <w:r>
        <w:rPr>
          <w:i/>
          <w:iCs/>
        </w:rPr>
        <w:t xml:space="preserve">Baliospermum montanum</w:t>
      </w:r>
      <w:r>
        <w:t xml:space="preserve">) for their powerful debriding action. To catalyze the chemical cleansing, the formulation incorporates </w:t>
      </w:r>
      <w:r>
        <w:rPr>
          <w:i/>
          <w:iCs/>
        </w:rPr>
        <w:t xml:space="preserve">Katutrika</w:t>
      </w:r>
      <w:r>
        <w:t xml:space="preserve"> (</w:t>
      </w:r>
      <w:r>
        <w:rPr>
          <w:i/>
          <w:iCs/>
        </w:rPr>
        <w:t xml:space="preserve">Trikatu</w:t>
      </w:r>
      <w:r>
        <w:t xml:space="preserve">), </w:t>
      </w:r>
      <w:r>
        <w:rPr>
          <w:i/>
          <w:iCs/>
        </w:rPr>
        <w:t xml:space="preserve">Yavakshara</w:t>
      </w:r>
      <w:r>
        <w:t xml:space="preserve"> (potassium carbonate), and minerals such as </w:t>
      </w:r>
      <w:r>
        <w:rPr>
          <w:i/>
          <w:iCs/>
        </w:rPr>
        <w:t xml:space="preserve">Manahshila</w:t>
      </w:r>
      <w:r>
        <w:t xml:space="preserve"> (realgar), </w:t>
      </w:r>
      <w:r>
        <w:rPr>
          <w:i/>
          <w:iCs/>
        </w:rPr>
        <w:t xml:space="preserve">Kasisa</w:t>
      </w:r>
      <w:r>
        <w:t xml:space="preserve"> (ferrous sulfate), </w:t>
      </w:r>
      <w:r>
        <w:rPr>
          <w:i/>
          <w:iCs/>
        </w:rPr>
        <w:t xml:space="preserve">Haratala</w:t>
      </w:r>
      <w:r>
        <w:t xml:space="preserve">(orpiment), and </w:t>
      </w:r>
      <w:r>
        <w:rPr>
          <w:i/>
          <w:iCs/>
        </w:rPr>
        <w:t xml:space="preserve">Surashtraja</w:t>
      </w:r>
      <w:r>
        <w:t xml:space="preserve"> (Saurashtra clay). The addition of </w:t>
      </w:r>
      <w:r>
        <w:rPr>
          <w:i/>
          <w:iCs/>
        </w:rPr>
        <w:t xml:space="preserve">Pancha Lavana</w:t>
      </w:r>
      <w:r>
        <w:t xml:space="preserve"> (the five salts) acts as an osmotic agent to draw out deep-seated slough.</w:t>
      </w:r>
    </w:p>
    <w:p>
      <w:pPr>
        <w:pStyle w:val="Normal"/>
      </w:pPr>
      <w:r>
        <w:t xml:space="preserve">The clinical application involves coating a sterile thread or gauze wick with the paste of these drugs and inserting it directly into the wound orifice or sinus track. This ensures that the purifying agents maintain prolonged contact with the internal walls of the wound, which surface irrigation cannot reach. The combination of alkaline </w:t>
      </w:r>
      <w:r>
        <w:rPr>
          <w:i/>
          <w:iCs/>
        </w:rPr>
        <w:t xml:space="preserve">Yavakshara</w:t>
      </w:r>
      <w:r>
        <w:t xml:space="preserve">, mineral salts, and irritant botanicals induces chemical debridement, dissolving necrotic tissue and stimulating the evacuation of morbid material from the depths of the wound. By converting a contaminated, complex track into a clean environment, the </w:t>
      </w:r>
      <w:r>
        <w:rPr>
          <w:i/>
          <w:iCs/>
        </w:rPr>
        <w:t xml:space="preserve">Shodhana Varti</w:t>
      </w:r>
      <w:r>
        <w:t xml:space="preserve"> effectively bridges the gap between initial surface washing and final tissue regeneration.</w:t>
      </w:r>
    </w:p>
    <w:p>
      <w:pPr>
        <w:pStyle w:val="Normal"/>
      </w:pPr>
      <w:r>
        <w:rPr>
          <w:b/>
          <w:bCs/>
        </w:rPr>
        <w:t xml:space="preserve">2.7 Shodhana Ghrita</w:t>
      </w:r>
      <w:r>
        <w:rPr>
          <w:b/>
          <w:bCs/>
          <w:vertAlign w:val="superscript"/>
        </w:rPr>
        <w:t xml:space="preserve">10</w:t>
      </w:r>
    </w:p>
    <w:p>
      <w:pPr>
        <w:pStyle w:val="Normal"/>
      </w:pPr>
      <w:r>
        <w:t xml:space="preserve">Following the use of mechanical wicks, </w:t>
      </w:r>
      <w:r>
        <w:rPr>
          <w:i/>
          <w:iCs/>
        </w:rPr>
        <w:t xml:space="preserve">Sushruta</w:t>
      </w:r>
      <w:r>
        <w:t xml:space="preserve"> introduces </w:t>
      </w:r>
      <w:r>
        <w:rPr>
          <w:i/>
          <w:iCs/>
        </w:rPr>
        <w:t xml:space="preserve">Shodhana Ghrita</w:t>
      </w:r>
      <w:r>
        <w:t xml:space="preserve"> (medicated ghee), a lipophilic formulation designed to penetrate deep tissue layers while maintaining a moist wound environment. This preparation combines potent alkaline agents with proteolytic botanical latex to achieve "enzymatic-like" debridement. The formulation consists of </w:t>
      </w:r>
      <w:r>
        <w:rPr>
          <w:i/>
          <w:iCs/>
        </w:rPr>
        <w:t xml:space="preserve">Arka</w:t>
      </w:r>
      <w:r>
        <w:t xml:space="preserve"> (</w:t>
      </w:r>
      <w:r>
        <w:rPr>
          <w:i/>
          <w:iCs/>
        </w:rPr>
        <w:t xml:space="preserve">Calotropis procera</w:t>
      </w:r>
      <w:r>
        <w:t xml:space="preserve">), </w:t>
      </w:r>
      <w:r>
        <w:rPr>
          <w:i/>
          <w:iCs/>
        </w:rPr>
        <w:t xml:space="preserve">Uttama</w:t>
      </w:r>
      <w:r>
        <w:t xml:space="preserve"> (the </w:t>
      </w:r>
      <w:r>
        <w:rPr>
          <w:i/>
          <w:iCs/>
        </w:rPr>
        <w:t xml:space="preserve">Triphala</w:t>
      </w:r>
      <w:r>
        <w:t xml:space="preserve"> cluster), and the potent latex of </w:t>
      </w:r>
      <w:r>
        <w:rPr>
          <w:i/>
          <w:iCs/>
        </w:rPr>
        <w:t xml:space="preserve">Snuhi</w:t>
      </w:r>
      <w:r>
        <w:t xml:space="preserve"> (</w:t>
      </w:r>
      <w:r>
        <w:rPr>
          <w:i/>
          <w:iCs/>
        </w:rPr>
        <w:t xml:space="preserve">Euphorbia neriifolia</w:t>
      </w:r>
      <w:r>
        <w:t xml:space="preserve">). These are integrated with </w:t>
      </w:r>
      <w:r>
        <w:rPr>
          <w:i/>
          <w:iCs/>
        </w:rPr>
        <w:t xml:space="preserve">Ksharottama</w:t>
      </w:r>
      <w:r>
        <w:t xml:space="preserve"> (superior alkaline sources like </w:t>
      </w:r>
      <w:r>
        <w:rPr>
          <w:i/>
          <w:iCs/>
        </w:rPr>
        <w:t xml:space="preserve">Mushkaka</w:t>
      </w:r>
      <w:r>
        <w:t xml:space="preserve"> and </w:t>
      </w:r>
      <w:r>
        <w:rPr>
          <w:i/>
          <w:iCs/>
        </w:rPr>
        <w:t xml:space="preserve">Palasha</w:t>
      </w:r>
      <w:r>
        <w:t xml:space="preserve">), </w:t>
      </w:r>
      <w:r>
        <w:rPr>
          <w:i/>
          <w:iCs/>
        </w:rPr>
        <w:t xml:space="preserve">Jatimula</w:t>
      </w:r>
      <w:r>
        <w:t xml:space="preserve"> (the root of </w:t>
      </w:r>
      <w:r>
        <w:rPr>
          <w:i/>
          <w:iCs/>
        </w:rPr>
        <w:t xml:space="preserve">Jasminum officinarum</w:t>
      </w:r>
      <w:r>
        <w:t xml:space="preserve">), </w:t>
      </w:r>
      <w:r>
        <w:rPr>
          <w:i/>
          <w:iCs/>
        </w:rPr>
        <w:t xml:space="preserve">Haridra</w:t>
      </w:r>
      <w:r>
        <w:t xml:space="preserve"> (</w:t>
      </w:r>
      <w:r>
        <w:rPr>
          <w:i/>
          <w:iCs/>
        </w:rPr>
        <w:t xml:space="preserve">Curcuma longa</w:t>
      </w:r>
      <w:r>
        <w:t xml:space="preserve">), </w:t>
      </w:r>
      <w:r>
        <w:rPr>
          <w:i/>
          <w:iCs/>
        </w:rPr>
        <w:t xml:space="preserve">Daruharidra</w:t>
      </w:r>
      <w:r>
        <w:t xml:space="preserve"> (</w:t>
      </w:r>
      <w:r>
        <w:rPr>
          <w:i/>
          <w:iCs/>
        </w:rPr>
        <w:t xml:space="preserve">Berberis aristata</w:t>
      </w:r>
      <w:r>
        <w:t xml:space="preserve">), </w:t>
      </w:r>
      <w:r>
        <w:rPr>
          <w:i/>
          <w:iCs/>
        </w:rPr>
        <w:t xml:space="preserve">Kasisa</w:t>
      </w:r>
      <w:r>
        <w:t xml:space="preserve"> (Ferrous sulfate), and </w:t>
      </w:r>
      <w:r>
        <w:rPr>
          <w:i/>
          <w:iCs/>
        </w:rPr>
        <w:t xml:space="preserve">Katurohini</w:t>
      </w:r>
      <w:r>
        <w:t xml:space="preserve"> (</w:t>
      </w:r>
      <w:r>
        <w:rPr>
          <w:i/>
          <w:iCs/>
        </w:rPr>
        <w:t xml:space="preserve">Picrorhiza kurroa</w:t>
      </w:r>
      <w:r>
        <w:t xml:space="preserve">). </w:t>
      </w:r>
      <w:r>
        <w:rPr>
          <w:i/>
          <w:iCs/>
        </w:rPr>
        <w:t xml:space="preserve">Dalhana</w:t>
      </w:r>
      <w:r>
        <w:t xml:space="preserve"> notes that this </w:t>
      </w:r>
      <w:r>
        <w:rPr>
          <w:i/>
          <w:iCs/>
        </w:rPr>
        <w:t xml:space="preserve">ghrita</w:t>
      </w:r>
      <w:r>
        <w:t xml:space="preserve"> further incorporates the botanical agents previously mentioned in the </w:t>
      </w:r>
      <w:r>
        <w:rPr>
          <w:i/>
          <w:iCs/>
        </w:rPr>
        <w:t xml:space="preserve">Shodhana Varti</w:t>
      </w:r>
      <w:r>
        <w:t xml:space="preserve"> group to ensure a comprehensive spectrum of purification.</w:t>
      </w:r>
    </w:p>
    <w:p>
      <w:pPr>
        <w:pStyle w:val="Normal"/>
      </w:pPr>
      <w:r>
        <w:t xml:space="preserve">The therapeutic rationale for using a </w:t>
      </w:r>
      <w:r>
        <w:rPr>
          <w:i/>
          <w:iCs/>
        </w:rPr>
        <w:t xml:space="preserve">ghrita</w:t>
      </w:r>
      <w:r>
        <w:t xml:space="preserve">-based medium is to facilitate the transport of </w:t>
      </w:r>
      <w:r>
        <w:rPr>
          <w:i/>
          <w:iCs/>
        </w:rPr>
        <w:t xml:space="preserve">Ushna</w:t>
      </w:r>
      <w:r>
        <w:t xml:space="preserve"> and </w:t>
      </w:r>
      <w:r>
        <w:rPr>
          <w:i/>
          <w:iCs/>
        </w:rPr>
        <w:t xml:space="preserve">Tikshna</w:t>
      </w:r>
      <w:r>
        <w:t xml:space="preserve"> (penetrating) drugs into narrow wound crevices where aqueous decoctions may not reach. The inclusion of </w:t>
      </w:r>
      <w:r>
        <w:rPr>
          <w:i/>
          <w:iCs/>
        </w:rPr>
        <w:t xml:space="preserve">Snuhi</w:t>
      </w:r>
      <w:r>
        <w:t xml:space="preserve"> latex and </w:t>
      </w:r>
      <w:r>
        <w:rPr>
          <w:i/>
          <w:iCs/>
        </w:rPr>
        <w:t xml:space="preserve">Kshara</w:t>
      </w:r>
      <w:r>
        <w:t xml:space="preserve"> provides a localized caustic action that dissolves necrotic slough and "scrapes" away unhealthy granulations. Meanwhile, the </w:t>
      </w:r>
      <w:r>
        <w:rPr>
          <w:i/>
          <w:iCs/>
        </w:rPr>
        <w:t xml:space="preserve">Triphala</w:t>
      </w:r>
      <w:r>
        <w:t xml:space="preserve"> and </w:t>
      </w:r>
      <w:r>
        <w:rPr>
          <w:i/>
          <w:iCs/>
        </w:rPr>
        <w:t xml:space="preserve">Haridra</w:t>
      </w:r>
      <w:r>
        <w:t xml:space="preserve"> components offer antimicrobial protection and reduce perilesional edema. By delivering these aggressive purifying agents within a soothing lipid base, the surgeon achieves a "controlled debridement" that cleanses the wound without causing excessive irritation to the healthy underlying tissue, effectively transitioning the chronic wound into a clean, healing state.</w:t>
      </w:r>
    </w:p>
    <w:p>
      <w:pPr>
        <w:pStyle w:val="Normal"/>
      </w:pPr>
      <w:r>
        <w:rPr>
          <w:b/>
          <w:bCs/>
          <w:i/>
          <w:iCs/>
        </w:rPr>
        <w:t xml:space="preserve">2.8 Shodhana Taila</w:t>
      </w:r>
      <w:r>
        <w:rPr>
          <w:b/>
          <w:bCs/>
          <w:i/>
          <w:iCs/>
          <w:vertAlign w:val="superscript"/>
        </w:rPr>
        <w:t xml:space="preserve">11</w:t>
      </w:r>
    </w:p>
    <w:p>
      <w:pPr>
        <w:pStyle w:val="Normal"/>
      </w:pPr>
      <w:r>
        <w:t xml:space="preserve">In clinical scenarios where a wound exhibits excessive </w:t>
      </w:r>
      <w:r>
        <w:rPr>
          <w:i/>
          <w:iCs/>
        </w:rPr>
        <w:t xml:space="preserve">Kleda</w:t>
      </w:r>
      <w:r>
        <w:t xml:space="preserve"> (exudation) or is located in areas where moisture must be strictly regulated, </w:t>
      </w:r>
      <w:r>
        <w:rPr>
          <w:i/>
          <w:iCs/>
        </w:rPr>
        <w:t xml:space="preserve">Sushruta</w:t>
      </w:r>
      <w:r>
        <w:t xml:space="preserve"> prescribes </w:t>
      </w:r>
      <w:r>
        <w:rPr>
          <w:i/>
          <w:iCs/>
        </w:rPr>
        <w:t xml:space="preserve">Shodhana Taila</w:t>
      </w:r>
      <w:r>
        <w:t xml:space="preserve"> (medicated oil). While </w:t>
      </w:r>
      <w:r>
        <w:rPr>
          <w:i/>
          <w:iCs/>
        </w:rPr>
        <w:t xml:space="preserve">Ghrita</w:t>
      </w:r>
      <w:r>
        <w:t xml:space="preserve"> is cooling and nourishing, the oil medium is inherently more penetrating (</w:t>
      </w:r>
      <w:r>
        <w:rPr>
          <w:i/>
          <w:iCs/>
        </w:rPr>
        <w:t xml:space="preserve">Sukshma</w:t>
      </w:r>
      <w:r>
        <w:t xml:space="preserve">) and better suited for clearing mucoid stagnancy. The formulation is composed of </w:t>
      </w:r>
      <w:r>
        <w:rPr>
          <w:i/>
          <w:iCs/>
        </w:rPr>
        <w:t xml:space="preserve">Mayuraka</w:t>
      </w:r>
      <w:r>
        <w:t xml:space="preserve"> (</w:t>
      </w:r>
      <w:r>
        <w:rPr>
          <w:i/>
          <w:iCs/>
        </w:rPr>
        <w:t xml:space="preserve">Achyranthes aspera</w:t>
      </w:r>
      <w:r>
        <w:t xml:space="preserve">), </w:t>
      </w:r>
      <w:r>
        <w:rPr>
          <w:i/>
          <w:iCs/>
        </w:rPr>
        <w:t xml:space="preserve">Rajavriksha</w:t>
      </w:r>
      <w:r>
        <w:t xml:space="preserve"> (</w:t>
      </w:r>
      <w:r>
        <w:rPr>
          <w:i/>
          <w:iCs/>
        </w:rPr>
        <w:t xml:space="preserve">Cassia fistula</w:t>
      </w:r>
      <w:r>
        <w:t xml:space="preserve">), </w:t>
      </w:r>
      <w:r>
        <w:rPr>
          <w:i/>
          <w:iCs/>
        </w:rPr>
        <w:t xml:space="preserve">Nimba</w:t>
      </w:r>
      <w:r>
        <w:t xml:space="preserve"> (</w:t>
      </w:r>
      <w:r>
        <w:rPr>
          <w:i/>
          <w:iCs/>
        </w:rPr>
        <w:t xml:space="preserve">Azadirachta indica</w:t>
      </w:r>
      <w:r>
        <w:t xml:space="preserve">), </w:t>
      </w:r>
      <w:r>
        <w:rPr>
          <w:i/>
          <w:iCs/>
        </w:rPr>
        <w:t xml:space="preserve">Koshataki</w:t>
      </w:r>
      <w:r>
        <w:t xml:space="preserve"> (</w:t>
      </w:r>
      <w:r>
        <w:rPr>
          <w:i/>
          <w:iCs/>
        </w:rPr>
        <w:t xml:space="preserve">Luffa echinata</w:t>
      </w:r>
      <w:r>
        <w:t xml:space="preserve">), and </w:t>
      </w:r>
      <w:r>
        <w:rPr>
          <w:i/>
          <w:iCs/>
        </w:rPr>
        <w:t xml:space="preserve">Tila</w:t>
      </w:r>
      <w:r>
        <w:t xml:space="preserve"> (</w:t>
      </w:r>
      <w:r>
        <w:rPr>
          <w:i/>
          <w:iCs/>
        </w:rPr>
        <w:t xml:space="preserve">Sesamum indicum</w:t>
      </w:r>
      <w:r>
        <w:t xml:space="preserve">). These are processed with </w:t>
      </w:r>
      <w:r>
        <w:rPr>
          <w:i/>
          <w:iCs/>
        </w:rPr>
        <w:t xml:space="preserve">Brihati</w:t>
      </w:r>
      <w:r>
        <w:t xml:space="preserve"> (</w:t>
      </w:r>
      <w:r>
        <w:rPr>
          <w:i/>
          <w:iCs/>
        </w:rPr>
        <w:t xml:space="preserve">Solanum indicum</w:t>
      </w:r>
      <w:r>
        <w:t xml:space="preserve">), </w:t>
      </w:r>
      <w:r>
        <w:rPr>
          <w:i/>
          <w:iCs/>
        </w:rPr>
        <w:t xml:space="preserve">Kantakari</w:t>
      </w:r>
      <w:r>
        <w:t xml:space="preserve"> (</w:t>
      </w:r>
      <w:r>
        <w:rPr>
          <w:i/>
          <w:iCs/>
        </w:rPr>
        <w:t xml:space="preserve">Solanum xanthocarpum</w:t>
      </w:r>
      <w:r>
        <w:t xml:space="preserve">), and the mineral catalysts </w:t>
      </w:r>
      <w:r>
        <w:rPr>
          <w:i/>
          <w:iCs/>
        </w:rPr>
        <w:t xml:space="preserve">Haratala</w:t>
      </w:r>
      <w:r>
        <w:t xml:space="preserve"> (Orpiment) and </w:t>
      </w:r>
      <w:r>
        <w:rPr>
          <w:i/>
          <w:iCs/>
        </w:rPr>
        <w:t xml:space="preserve">Manahshila</w:t>
      </w:r>
      <w:r>
        <w:t xml:space="preserve"> (Realgar). </w:t>
      </w:r>
      <w:r>
        <w:rPr>
          <w:i/>
          <w:iCs/>
        </w:rPr>
        <w:t xml:space="preserve">Dalhana</w:t>
      </w:r>
      <w:r>
        <w:t xml:space="preserve"> clarifies that this oil also incorporates the comprehensive "purifying" drugs previously mentioned in the </w:t>
      </w:r>
      <w:r>
        <w:rPr>
          <w:i/>
          <w:iCs/>
        </w:rPr>
        <w:t xml:space="preserve">Shodhana Varti</w:t>
      </w:r>
      <w:r>
        <w:t xml:space="preserve"> and </w:t>
      </w:r>
      <w:r>
        <w:rPr>
          <w:i/>
          <w:iCs/>
        </w:rPr>
        <w:t xml:space="preserve">Vamana-Virechana</w:t>
      </w:r>
      <w:r>
        <w:t xml:space="preserve"> (purgative) groups to maximize its debriding potential.</w:t>
      </w:r>
    </w:p>
    <w:p>
      <w:pPr>
        <w:pStyle w:val="Normal"/>
      </w:pPr>
      <w:r>
        <w:t xml:space="preserve">The therapeutic rationale for </w:t>
      </w:r>
      <w:r>
        <w:rPr>
          <w:i/>
          <w:iCs/>
        </w:rPr>
        <w:t xml:space="preserve">Shodhana Taila</w:t>
      </w:r>
      <w:r>
        <w:t xml:space="preserve"> lies in its ability to reach deep-seated infection sites within the </w:t>
      </w:r>
      <w:r>
        <w:rPr>
          <w:i/>
          <w:iCs/>
        </w:rPr>
        <w:t xml:space="preserve">Vrana-marga</w:t>
      </w:r>
      <w:r>
        <w:t xml:space="preserve"> (wound track). The inclusion of </w:t>
      </w:r>
      <w:r>
        <w:rPr>
          <w:i/>
          <w:iCs/>
        </w:rPr>
        <w:t xml:space="preserve">Apamarga</w:t>
      </w:r>
      <w:r>
        <w:t xml:space="preserve"> (</w:t>
      </w:r>
      <w:r>
        <w:rPr>
          <w:i/>
          <w:iCs/>
        </w:rPr>
        <w:t xml:space="preserve">Mayuraka</w:t>
      </w:r>
      <w:r>
        <w:t xml:space="preserve">) and the </w:t>
      </w:r>
      <w:r>
        <w:rPr>
          <w:i/>
          <w:iCs/>
        </w:rPr>
        <w:t xml:space="preserve">Kantakari</w:t>
      </w:r>
      <w:r>
        <w:t xml:space="preserve"> species provides a "scraping" (</w:t>
      </w:r>
      <w:r>
        <w:rPr>
          <w:i/>
          <w:iCs/>
        </w:rPr>
        <w:t xml:space="preserve">Lekhana</w:t>
      </w:r>
      <w:r>
        <w:t xml:space="preserve">) action, which is essential for removing persistent slough and unhealthy granulation tissue. Minerals like </w:t>
      </w:r>
      <w:r>
        <w:rPr>
          <w:i/>
          <w:iCs/>
        </w:rPr>
        <w:t xml:space="preserve">Haratala</w:t>
      </w:r>
      <w:r>
        <w:t xml:space="preserve"> and </w:t>
      </w:r>
      <w:r>
        <w:rPr>
          <w:i/>
          <w:iCs/>
        </w:rPr>
        <w:t xml:space="preserve">Manahshila</w:t>
      </w:r>
      <w:r>
        <w:t xml:space="preserve"> act as potent antimicrobial agents that target the "biofilm" of chronic wounds, while the </w:t>
      </w:r>
      <w:r>
        <w:rPr>
          <w:i/>
          <w:iCs/>
        </w:rPr>
        <w:t xml:space="preserve">Nimba</w:t>
      </w:r>
      <w:r>
        <w:t xml:space="preserve"> and </w:t>
      </w:r>
      <w:r>
        <w:rPr>
          <w:i/>
          <w:iCs/>
        </w:rPr>
        <w:t xml:space="preserve">Rajavriksha</w:t>
      </w:r>
      <w:r>
        <w:t xml:space="preserve"> components facilitate the drainage of morbid fluids. By delivering these aggressive purifying agents in an oil base, the surgeon ensures a continuous pharmacological action that reduces the microbial load and dries out pathological moisture, effectively transforming a foul, non-healing wound into a clean, healthy surgical bed.</w:t>
      </w:r>
    </w:p>
    <w:p>
      <w:pPr>
        <w:pStyle w:val="Normal"/>
      </w:pPr>
      <w:r>
        <w:rPr>
          <w:b/>
          <w:bCs/>
        </w:rPr>
        <w:t xml:space="preserve">2.9 Shodhana Churna</w:t>
      </w:r>
      <w:r>
        <w:rPr>
          <w:b/>
          <w:bCs/>
          <w:vertAlign w:val="superscript"/>
        </w:rPr>
        <w:t xml:space="preserve">12</w:t>
      </w:r>
    </w:p>
    <w:p>
      <w:pPr>
        <w:pStyle w:val="Normal"/>
      </w:pPr>
      <w:r>
        <w:t xml:space="preserve">For wounds characterized by excessive slough, high moisture content, or foul-smelling exudates, </w:t>
      </w:r>
      <w:r>
        <w:rPr>
          <w:i/>
          <w:iCs/>
        </w:rPr>
        <w:t xml:space="preserve">Sushruta</w:t>
      </w:r>
      <w:r>
        <w:t xml:space="preserve"> prescribes </w:t>
      </w:r>
      <w:r>
        <w:rPr>
          <w:i/>
          <w:iCs/>
        </w:rPr>
        <w:t xml:space="preserve">Shodhana Churna</w:t>
      </w:r>
      <w:r>
        <w:t xml:space="preserve"> (purifying powder). Unlike liquid decoctions or heavy pastes, the dry powder form utilizes capillary action to absorb morbid fluids while delivering concentrated purifying agents directly to the wound surface. The formulation is composed of </w:t>
      </w:r>
      <w:r>
        <w:rPr>
          <w:i/>
          <w:iCs/>
        </w:rPr>
        <w:t xml:space="preserve">Kasisa</w:t>
      </w:r>
      <w:r>
        <w:t xml:space="preserve"> (Ferrous sulfate), </w:t>
      </w:r>
      <w:r>
        <w:rPr>
          <w:i/>
          <w:iCs/>
        </w:rPr>
        <w:t xml:space="preserve">Saindhava</w:t>
      </w:r>
      <w:r>
        <w:t xml:space="preserve"> (Rock salt), </w:t>
      </w:r>
      <w:r>
        <w:rPr>
          <w:i/>
          <w:iCs/>
        </w:rPr>
        <w:t xml:space="preserve">Kinva</w:t>
      </w:r>
      <w:r>
        <w:t xml:space="preserve"> (Fermenting enzymes), </w:t>
      </w:r>
      <w:r>
        <w:rPr>
          <w:i/>
          <w:iCs/>
        </w:rPr>
        <w:t xml:space="preserve">Vacha</w:t>
      </w:r>
      <w:r>
        <w:t xml:space="preserve"> (</w:t>
      </w:r>
      <w:r>
        <w:rPr>
          <w:i/>
          <w:iCs/>
        </w:rPr>
        <w:t xml:space="preserve">Acorus calamus</w:t>
      </w:r>
      <w:r>
        <w:t xml:space="preserve">), and </w:t>
      </w:r>
      <w:r>
        <w:rPr>
          <w:i/>
          <w:iCs/>
        </w:rPr>
        <w:t xml:space="preserve">Rajani-dvaya</w:t>
      </w:r>
      <w:r>
        <w:t xml:space="preserve"> (the two turmerics: </w:t>
      </w:r>
      <w:r>
        <w:rPr>
          <w:i/>
          <w:iCs/>
        </w:rPr>
        <w:t xml:space="preserve">Haridra</w:t>
      </w:r>
      <w:r>
        <w:t xml:space="preserve"> and </w:t>
      </w:r>
      <w:r>
        <w:rPr>
          <w:i/>
          <w:iCs/>
        </w:rPr>
        <w:t xml:space="preserve">Daruharidra</w:t>
      </w:r>
      <w:r>
        <w:t xml:space="preserve">). </w:t>
      </w:r>
      <w:r>
        <w:rPr>
          <w:i/>
          <w:iCs/>
        </w:rPr>
        <w:t xml:space="preserve">Dalhana</w:t>
      </w:r>
      <w:r>
        <w:t xml:space="preserve"> adds that this powder also integrates other agents previously mentioned in the </w:t>
      </w:r>
      <w:r>
        <w:rPr>
          <w:i/>
          <w:iCs/>
        </w:rPr>
        <w:t xml:space="preserve">Shodhana Varti</w:t>
      </w:r>
      <w:r>
        <w:t xml:space="preserve"> and systemic purification (</w:t>
      </w:r>
      <w:r>
        <w:rPr>
          <w:i/>
          <w:iCs/>
        </w:rPr>
        <w:t xml:space="preserve">Vamana-Virechana</w:t>
      </w:r>
      <w:r>
        <w:t xml:space="preserve">) groups to enhance its clinical potency.</w:t>
      </w:r>
    </w:p>
    <w:p>
      <w:pPr>
        <w:pStyle w:val="Normal"/>
      </w:pPr>
      <w:r>
        <w:t xml:space="preserve">The therapeutic rationale for the powder medium lies in its aggressive "scraping" (</w:t>
      </w:r>
      <w:r>
        <w:rPr>
          <w:i/>
          <w:iCs/>
        </w:rPr>
        <w:t xml:space="preserve">Lekhana</w:t>
      </w:r>
      <w:r>
        <w:t xml:space="preserve">) and "drying" (</w:t>
      </w:r>
      <w:r>
        <w:rPr>
          <w:i/>
          <w:iCs/>
        </w:rPr>
        <w:t xml:space="preserve">Shoshana</w:t>
      </w:r>
      <w:r>
        <w:t xml:space="preserve">) capability. Saindhava acts as an osmotic catalyst, drawing out deep-seated interstitial fluids, while Kasisa and the </w:t>
      </w:r>
      <w:r>
        <w:rPr>
          <w:i/>
          <w:iCs/>
        </w:rPr>
        <w:t xml:space="preserve">Rajani dvaya</w:t>
      </w:r>
      <w:r>
        <w:t xml:space="preserve"> provide a chemical debridement that targets necrotic debris. The inclusion of </w:t>
      </w:r>
      <w:r>
        <w:rPr>
          <w:i/>
          <w:iCs/>
        </w:rPr>
        <w:t xml:space="preserve">Kinva</w:t>
      </w:r>
      <w:r>
        <w:t xml:space="preserve"> (enzymes) facilitates the proteolytic breakdown of tough, adherent slough that often resists surface washing. By dusting this fine powder onto the wound bed, the surgeon ensures that every crevice is reached, the microbial biofilm is disrupted, and the "wet" environment of a chronic wound is converted into a "dry," purified state, setting the stage for the final phase of tissue regeneration.</w:t>
      </w:r>
    </w:p>
    <w:p>
      <w:pPr>
        <w:pStyle w:val="Normal"/>
      </w:pPr>
      <w:r>
        <w:rPr>
          <w:b/>
          <w:bCs/>
        </w:rPr>
        <w:t xml:space="preserve">2.10</w:t>
      </w:r>
      <w:r>
        <w:rPr>
          <w:b/>
          <w:bCs/>
          <w:i/>
          <w:iCs/>
        </w:rPr>
        <w:t xml:space="preserve">Shodhana Rasakriya</w:t>
      </w:r>
      <w:r>
        <w:rPr>
          <w:b/>
          <w:bCs/>
          <w:i/>
          <w:iCs/>
          <w:vertAlign w:val="superscript"/>
        </w:rPr>
        <w:t xml:space="preserve">13</w:t>
      </w:r>
    </w:p>
    <w:p>
      <w:pPr>
        <w:pStyle w:val="Normal"/>
      </w:pPr>
      <w:r>
        <w:t xml:space="preserve">For chronic wounds and deep-seated sinuses requiring a high concentration of active agents, Sushruta prescribes </w:t>
      </w:r>
      <w:r>
        <w:rPr>
          <w:i/>
          <w:iCs/>
        </w:rPr>
        <w:t xml:space="preserve">Shodhana Rasakriya</w:t>
      </w:r>
      <w:r>
        <w:t xml:space="preserve">. As defined by </w:t>
      </w:r>
      <w:r>
        <w:rPr>
          <w:i/>
          <w:iCs/>
        </w:rPr>
        <w:t xml:space="preserve">Dalhana, Rasakriya</w:t>
      </w:r>
      <w:r>
        <w:t xml:space="preserve"> is a solidified decoction characterized by a "</w:t>
      </w:r>
      <w:r>
        <w:rPr>
          <w:i/>
          <w:iCs/>
        </w:rPr>
        <w:t xml:space="preserve">Phanita-akriti</w:t>
      </w:r>
      <w:r>
        <w:t xml:space="preserve">" (the consistency of thickened treacle or honey). This preparation represents the most potent form of topical </w:t>
      </w:r>
      <w:r>
        <w:rPr>
          <w:i/>
          <w:iCs/>
        </w:rPr>
        <w:t xml:space="preserve">Shodhana</w:t>
      </w:r>
      <w:r>
        <w:t xml:space="preserve">, where the mechanical properties of a dense extract are combined with a high density of phytochemicals. The formulation utilizes the heartwood of the </w:t>
      </w:r>
      <w:r>
        <w:rPr>
          <w:i/>
          <w:iCs/>
        </w:rPr>
        <w:t xml:space="preserve">Salasaradi Gana</w:t>
      </w:r>
      <w:r>
        <w:t xml:space="preserve"> (the </w:t>
      </w:r>
      <w:r>
        <w:rPr>
          <w:i/>
          <w:iCs/>
        </w:rPr>
        <w:t xml:space="preserve">Shala</w:t>
      </w:r>
      <w:r>
        <w:t xml:space="preserve"> group of resins and woods), along with </w:t>
      </w:r>
      <w:r>
        <w:rPr>
          <w:i/>
          <w:iCs/>
        </w:rPr>
        <w:t xml:space="preserve">Patola</w:t>
      </w:r>
      <w:r>
        <w:t xml:space="preserve"> (</w:t>
      </w:r>
      <w:r>
        <w:rPr>
          <w:i/>
          <w:iCs/>
        </w:rPr>
        <w:t xml:space="preserve">Trichosanthes dioica</w:t>
      </w:r>
      <w:r>
        <w:t xml:space="preserve">) and </w:t>
      </w:r>
      <w:r>
        <w:rPr>
          <w:i/>
          <w:iCs/>
        </w:rPr>
        <w:t xml:space="preserve">Triphala</w:t>
      </w:r>
      <w:r>
        <w:t xml:space="preserve">. Similar to the other purification modes, it also incorporates the comprehensive drug cluster from the </w:t>
      </w:r>
      <w:r>
        <w:rPr>
          <w:i/>
          <w:iCs/>
        </w:rPr>
        <w:t xml:space="preserve">Shodhana Varti</w:t>
      </w:r>
      <w:r>
        <w:t xml:space="preserve"> and systemic purgative groups.</w:t>
      </w:r>
    </w:p>
    <w:p>
      <w:pPr>
        <w:pStyle w:val="Normal"/>
      </w:pPr>
      <w:r>
        <w:t xml:space="preserve">The pharmaceutical preparation involves boiling the decoction of these drugs—initially reduced to one-eighth or one-sixteenth of the original water volume—and then further concentrating the strained liquid until it reaches a semi-solid, viscous state. The therapeutic rationale for this concentration is twofold:</w:t>
      </w:r>
    </w:p>
    <w:p>
      <w:pPr>
        <w:pStyle w:val="ListParagraph"/>
        <w:numPr>
          <w:ilvl w:val="0"/>
          <w:numId w:val="10"/>
        </w:numPr>
      </w:pPr>
      <w:r>
        <w:rPr>
          <w:b/>
          <w:bCs/>
        </w:rPr>
        <w:t xml:space="preserve">Sustained Contact:</w:t>
      </w:r>
      <w:r>
        <w:t xml:space="preserve"> The thick, honey-like consistency allows the medicine to adhere to the internal walls of a wound track or sinus for an extended duration, unlike thin decoctions that drain out quickly.</w:t>
      </w:r>
    </w:p>
    <w:p>
      <w:pPr>
        <w:pStyle w:val="ListParagraph"/>
        <w:numPr>
          <w:ilvl w:val="0"/>
          <w:numId w:val="10"/>
        </w:numPr>
      </w:pPr>
      <w:r>
        <w:rPr>
          <w:b/>
          <w:bCs/>
        </w:rPr>
        <w:t xml:space="preserve">Lekhana (Scraping) Potency:</w:t>
      </w:r>
      <w:r>
        <w:t xml:space="preserve"> The concentrated astringent (</w:t>
      </w:r>
      <w:r>
        <w:rPr>
          <w:i/>
          <w:iCs/>
        </w:rPr>
        <w:t xml:space="preserve">Kashaya</w:t>
      </w:r>
      <w:r>
        <w:t xml:space="preserve">) and bitter (</w:t>
      </w:r>
      <w:r>
        <w:rPr>
          <w:i/>
          <w:iCs/>
        </w:rPr>
        <w:t xml:space="preserve">Tikta</w:t>
      </w:r>
      <w:r>
        <w:t xml:space="preserve">) principles from the </w:t>
      </w:r>
      <w:r>
        <w:rPr>
          <w:i/>
          <w:iCs/>
        </w:rPr>
        <w:t xml:space="preserve">Salasaradi</w:t>
      </w:r>
      <w:r>
        <w:t xml:space="preserve"> woods and </w:t>
      </w:r>
      <w:r>
        <w:rPr>
          <w:i/>
          <w:iCs/>
        </w:rPr>
        <w:t xml:space="preserve">Triphala</w:t>
      </w:r>
      <w:r>
        <w:t xml:space="preserve"> induce an intensive "scraping" action.</w:t>
      </w:r>
    </w:p>
    <w:p>
      <w:pPr>
        <w:pStyle w:val="Normal"/>
      </w:pPr>
      <w:r>
        <w:t xml:space="preserve">By applying </w:t>
      </w:r>
      <w:r>
        <w:rPr>
          <w:i/>
          <w:iCs/>
        </w:rPr>
        <w:t xml:space="preserve">Rasakriya</w:t>
      </w:r>
      <w:r>
        <w:t xml:space="preserve">, the surgeon can effectively dissolve persistent slough and "digest" the unhealthy tissue lining of a chronic sinus, converting a complex pathological track into a clean, healthy surgical bed ready for the final stages of healing.</w:t>
      </w:r>
    </w:p>
    <w:p>
      <w:pPr>
        <w:pStyle w:val="Normal"/>
      </w:pPr>
      <w:r>
        <w:rPr>
          <w:b/>
          <w:bCs/>
        </w:rPr>
        <w:t xml:space="preserve">2.11</w:t>
      </w:r>
      <w:r>
        <w:rPr>
          <w:b/>
          <w:bCs/>
          <w:i/>
          <w:iCs/>
        </w:rPr>
        <w:t xml:space="preserve">Vrana-Dhoopana</w:t>
      </w:r>
      <w:r>
        <w:rPr>
          <w:b/>
          <w:bCs/>
          <w:i/>
          <w:iCs/>
          <w:vertAlign w:val="superscript"/>
        </w:rPr>
        <w:t xml:space="preserve">14</w:t>
      </w:r>
    </w:p>
    <w:p>
      <w:pPr>
        <w:pStyle w:val="Normal"/>
      </w:pPr>
      <w:r>
        <w:t xml:space="preserve">As the final mode in the eight-fold </w:t>
      </w:r>
      <w:r>
        <w:rPr>
          <w:i/>
          <w:iCs/>
        </w:rPr>
        <w:t xml:space="preserve">Shodhana</w:t>
      </w:r>
      <w:r>
        <w:t xml:space="preserve"> hierarchy, </w:t>
      </w:r>
      <w:r>
        <w:rPr>
          <w:i/>
          <w:iCs/>
        </w:rPr>
        <w:t xml:space="preserve">Vrana-Dhoopana</w:t>
      </w:r>
      <w:r>
        <w:t xml:space="preserve"> (medicated fumigation) serves as a specialized technique for purifying the wound environment through volatile antimicrobial vapours. The formulation utilizes a group of resinous and aromatic agents: </w:t>
      </w:r>
      <w:r>
        <w:rPr>
          <w:i/>
          <w:iCs/>
        </w:rPr>
        <w:t xml:space="preserve">Shrivestaka</w:t>
      </w:r>
      <w:r>
        <w:t xml:space="preserve"> (the resin of </w:t>
      </w:r>
      <w:r>
        <w:rPr>
          <w:i/>
          <w:iCs/>
        </w:rPr>
        <w:t xml:space="preserve">Pinus roxburghii</w:t>
      </w:r>
      <w:r>
        <w:t xml:space="preserve">), </w:t>
      </w:r>
      <w:r>
        <w:rPr>
          <w:i/>
          <w:iCs/>
        </w:rPr>
        <w:t xml:space="preserve">Sarjarasa</w:t>
      </w:r>
      <w:r>
        <w:t xml:space="preserve"> (the resin of </w:t>
      </w:r>
      <w:r>
        <w:rPr>
          <w:i/>
          <w:iCs/>
        </w:rPr>
        <w:t xml:space="preserve">Shorea robusta</w:t>
      </w:r>
      <w:r>
        <w:t xml:space="preserve">), </w:t>
      </w:r>
      <w:r>
        <w:rPr>
          <w:i/>
          <w:iCs/>
        </w:rPr>
        <w:t xml:space="preserve">Sarala</w:t>
      </w:r>
      <w:r>
        <w:t xml:space="preserve"> (the bark/heartwood of </w:t>
      </w:r>
      <w:r>
        <w:rPr>
          <w:i/>
          <w:iCs/>
        </w:rPr>
        <w:t xml:space="preserve">Pinus roxburghii</w:t>
      </w:r>
      <w:r>
        <w:t xml:space="preserve">), and </w:t>
      </w:r>
      <w:r>
        <w:rPr>
          <w:i/>
          <w:iCs/>
        </w:rPr>
        <w:t xml:space="preserve">Devadaru</w:t>
      </w:r>
      <w:r>
        <w:t xml:space="preserve"> (</w:t>
      </w:r>
      <w:r>
        <w:rPr>
          <w:i/>
          <w:iCs/>
        </w:rPr>
        <w:t xml:space="preserve">Cedrus deodara</w:t>
      </w:r>
      <w:r>
        <w:t xml:space="preserve">). Also, can include the heartwoods of the </w:t>
      </w:r>
      <w:r>
        <w:rPr>
          <w:i/>
          <w:iCs/>
        </w:rPr>
        <w:t xml:space="preserve">Salasaradi Gana</w:t>
      </w:r>
      <w:r>
        <w:t xml:space="preserve"> to enhance the potency of the smoke.</w:t>
      </w:r>
    </w:p>
    <w:p>
      <w:pPr>
        <w:pStyle w:val="Normal"/>
      </w:pPr>
      <w:r>
        <w:t xml:space="preserve">The therapeutic rationale for </w:t>
      </w:r>
      <w:r>
        <w:rPr>
          <w:i/>
          <w:iCs/>
        </w:rPr>
        <w:t xml:space="preserve">Dhoopana</w:t>
      </w:r>
      <w:r>
        <w:t xml:space="preserve"> lies in its ability to penetrate anatomical spaces that liquid or solid applications cannot easily access, such as deep crevices, micro-tunnels, and undermined wound edges. The resins used are rich in terpenes and phenolic compounds which, when volatilized, act as potent antimicrobial and antifungal agents. This process effectively reduces the "biofilm" and prevents the colonization of the wound bed.</w:t>
      </w:r>
    </w:p>
    <w:p>
      <w:pPr>
        <w:pStyle w:val="Normal"/>
      </w:pPr>
      <w:r>
        <w:rPr>
          <w:i/>
          <w:iCs/>
        </w:rPr>
        <w:t xml:space="preserve">Dalhana</w:t>
      </w:r>
      <w:r>
        <w:t xml:space="preserve"> adds a significant clinical note regarding the versatility of the </w:t>
      </w:r>
      <w:r>
        <w:rPr>
          <w:i/>
          <w:iCs/>
        </w:rPr>
        <w:t xml:space="preserve">Shodhana</w:t>
      </w:r>
      <w:r>
        <w:t xml:space="preserve"> cluster: the drugs mentioned in the previous sections (such as </w:t>
      </w:r>
      <w:r>
        <w:rPr>
          <w:i/>
          <w:iCs/>
        </w:rPr>
        <w:t xml:space="preserve">Shankhini</w:t>
      </w:r>
      <w:r>
        <w:t xml:space="preserve">, </w:t>
      </w:r>
      <w:r>
        <w:rPr>
          <w:i/>
          <w:iCs/>
        </w:rPr>
        <w:t xml:space="preserve">Ajagandha</w:t>
      </w:r>
      <w:r>
        <w:t xml:space="preserve">, and the </w:t>
      </w:r>
      <w:r>
        <w:rPr>
          <w:i/>
          <w:iCs/>
        </w:rPr>
        <w:t xml:space="preserve">Dviharidra</w:t>
      </w:r>
      <w:r>
        <w:t xml:space="preserve">) can also be adapted into </w:t>
      </w:r>
      <w:r>
        <w:rPr>
          <w:i/>
          <w:iCs/>
        </w:rPr>
        <w:t xml:space="preserve">Kalka</w:t>
      </w:r>
      <w:r>
        <w:t xml:space="preserve"> or other lipid-based forms like </w:t>
      </w:r>
      <w:r>
        <w:rPr>
          <w:i/>
          <w:iCs/>
        </w:rPr>
        <w:t xml:space="preserve">Taila-Ghrita</w:t>
      </w:r>
      <w:r>
        <w:t xml:space="preserve"> depending on the specific requirements of the wound. By concluding the purification process with </w:t>
      </w:r>
      <w:r>
        <w:rPr>
          <w:i/>
          <w:iCs/>
        </w:rPr>
        <w:t xml:space="preserve">Dhoopana</w:t>
      </w:r>
      <w:r>
        <w:t xml:space="preserve">, the surgeon ensures a sterile environment, facilitating the seamless transition from a purified state (</w:t>
      </w:r>
      <w:r>
        <w:rPr>
          <w:i/>
          <w:iCs/>
        </w:rPr>
        <w:t xml:space="preserve">Shuddha</w:t>
      </w:r>
      <w:r>
        <w:t xml:space="preserve">) to the active healing phase (</w:t>
      </w:r>
      <w:r>
        <w:rPr>
          <w:i/>
          <w:iCs/>
        </w:rPr>
        <w:t xml:space="preserve">Ropana</w:t>
      </w:r>
      <w:r>
        <w:t xml:space="preserve">).</w:t>
      </w:r>
    </w:p>
    <w:p>
      <w:pPr>
        <w:pStyle w:val="Normal"/>
      </w:pPr>
      <w:r>
        <w:rPr>
          <w:b/>
          <w:bCs/>
        </w:rPr>
        <w:t xml:space="preserve">2.12</w:t>
      </w:r>
      <w:r>
        <w:rPr>
          <w:b/>
          <w:bCs/>
          <w:i/>
          <w:iCs/>
        </w:rPr>
        <w:t xml:space="preserve">Ropana</w:t>
      </w:r>
      <w:r>
        <w:rPr>
          <w:b/>
          <w:bCs/>
          <w:i/>
          <w:iCs/>
          <w:vertAlign w:val="superscript"/>
        </w:rPr>
        <w:t xml:space="preserve">15</w:t>
      </w:r>
    </w:p>
    <w:p>
      <w:pPr>
        <w:pStyle w:val="Normal"/>
      </w:pPr>
      <w:r>
        <w:t xml:space="preserve">Once the wound is clinically purified (</w:t>
      </w:r>
      <w:r>
        <w:rPr>
          <w:i/>
          <w:iCs/>
        </w:rPr>
        <w:t xml:space="preserve">Shuddha</w:t>
      </w:r>
      <w:r>
        <w:t xml:space="preserve">), the surgical focus shifts to Ropana (healing/cicatrization). This phase aims to stimulate fibroblast proliferation, collagen synthesis, and epithelialization. Dalhana notes that while </w:t>
      </w:r>
      <w:r>
        <w:rPr>
          <w:i/>
          <w:iCs/>
        </w:rPr>
        <w:t xml:space="preserve">Shodhana</w:t>
      </w:r>
      <w:r>
        <w:t xml:space="preserve"> (purification) has eight modes, </w:t>
      </w:r>
      <w:r>
        <w:rPr>
          <w:i/>
          <w:iCs/>
        </w:rPr>
        <w:t xml:space="preserve">Ropana</w:t>
      </w:r>
      <w:r>
        <w:t xml:space="preserve"> utilizes seven, excluding </w:t>
      </w:r>
      <w:r>
        <w:rPr>
          <w:i/>
          <w:iCs/>
        </w:rPr>
        <w:t xml:space="preserve">Dhupana</w:t>
      </w:r>
      <w:r>
        <w:t xml:space="preserve"> (fumigation). The pharmacological logic transitions from aggressive "scraping" to Sandhana (union) and Brimhana (nourishing) actions.</w:t>
      </w:r>
    </w:p>
    <w:p>
      <w:pPr>
        <w:pStyle w:val="Normal"/>
      </w:pPr>
      <w:r>
        <w:rPr>
          <w:b/>
          <w:bCs/>
        </w:rPr>
        <w:t xml:space="preserve">2.12.1</w:t>
      </w:r>
      <w:r>
        <w:rPr>
          <w:b/>
          <w:bCs/>
          <w:i/>
          <w:iCs/>
        </w:rPr>
        <w:t xml:space="preserve">Ropana Kashaya</w:t>
      </w:r>
      <w:r>
        <w:rPr>
          <w:b/>
          <w:bCs/>
        </w:rPr>
        <w:t xml:space="preserve">and</w:t>
      </w:r>
      <w:r>
        <w:rPr>
          <w:b/>
          <w:bCs/>
          <w:i/>
          <w:iCs/>
        </w:rPr>
        <w:t xml:space="preserve">Varti</w:t>
      </w:r>
      <w:r>
        <w:rPr>
          <w:b/>
          <w:bCs/>
        </w:rPr>
        <w:t xml:space="preserve">:</w:t>
      </w:r>
    </w:p>
    <w:p>
      <w:pPr>
        <w:pStyle w:val="ListParagraph"/>
        <w:numPr>
          <w:ilvl w:val="0"/>
          <w:numId w:val="1"/>
        </w:numPr>
      </w:pPr>
      <w:r>
        <w:rPr>
          <w:i/>
          <w:iCs/>
        </w:rPr>
        <w:t xml:space="preserve">Kashaya</w:t>
      </w:r>
      <w:r>
        <w:t xml:space="preserve">: Decoctions or cold infusions (</w:t>
      </w:r>
      <w:r>
        <w:rPr>
          <w:i/>
          <w:iCs/>
        </w:rPr>
        <w:t xml:space="preserve">Sheeta-Kashaya</w:t>
      </w:r>
      <w:r>
        <w:t xml:space="preserve">) are prepared from the bark of </w:t>
      </w:r>
      <w:r>
        <w:rPr>
          <w:i/>
          <w:iCs/>
        </w:rPr>
        <w:t xml:space="preserve">Anushna</w:t>
      </w:r>
      <w:r>
        <w:t xml:space="preserve"> (non-thermogenic) trees, specifically the </w:t>
      </w:r>
      <w:r>
        <w:rPr>
          <w:i/>
          <w:iCs/>
        </w:rPr>
        <w:t xml:space="preserve">Kshiri Vrikshas</w:t>
      </w:r>
      <w:r>
        <w:t xml:space="preserve"> (latex-bearing trees like </w:t>
      </w:r>
      <w:r>
        <w:rPr>
          <w:i/>
          <w:iCs/>
        </w:rPr>
        <w:t xml:space="preserve">Nyagrodha, Udumbara, Ashvattha,</w:t>
      </w:r>
      <w:r>
        <w:t xml:space="preserve"> and </w:t>
      </w:r>
      <w:r>
        <w:rPr>
          <w:i/>
          <w:iCs/>
        </w:rPr>
        <w:t xml:space="preserve">Plaksha</w:t>
      </w:r>
      <w:r>
        <w:t xml:space="preserve">). These agents provide the necessary astringency to "knit" tissue edges and suppress residual inflammatory heat.</w:t>
      </w:r>
    </w:p>
    <w:p>
      <w:pPr>
        <w:pStyle w:val="ListParagraph"/>
        <w:numPr>
          <w:ilvl w:val="0"/>
          <w:numId w:val="1"/>
        </w:numPr>
      </w:pPr>
      <w:r>
        <w:rPr>
          <w:i/>
          <w:iCs/>
        </w:rPr>
        <w:t xml:space="preserve">Varti</w:t>
      </w:r>
      <w:r>
        <w:t xml:space="preserve">: For deep-seated wounds, healing wicks are formulated with </w:t>
      </w:r>
      <w:r>
        <w:rPr>
          <w:i/>
          <w:iCs/>
        </w:rPr>
        <w:t xml:space="preserve">Soma, Amrita</w:t>
      </w:r>
      <w:r>
        <w:t xml:space="preserve"> (</w:t>
      </w:r>
      <w:r>
        <w:rPr>
          <w:i/>
          <w:iCs/>
        </w:rPr>
        <w:t xml:space="preserve">Tinospora cordifolia</w:t>
      </w:r>
      <w:r>
        <w:t xml:space="preserve">), </w:t>
      </w:r>
      <w:r>
        <w:rPr>
          <w:i/>
          <w:iCs/>
        </w:rPr>
        <w:t xml:space="preserve">Ashwagandha</w:t>
      </w:r>
      <w:r>
        <w:t xml:space="preserve"> (</w:t>
      </w:r>
      <w:r>
        <w:rPr>
          <w:i/>
          <w:iCs/>
        </w:rPr>
        <w:t xml:space="preserve">Withania somnifera</w:t>
      </w:r>
      <w:r>
        <w:t xml:space="preserve">), and the </w:t>
      </w:r>
      <w:r>
        <w:rPr>
          <w:i/>
          <w:iCs/>
        </w:rPr>
        <w:t xml:space="preserve">Kakolyadi Gana</w:t>
      </w:r>
      <w:r>
        <w:t xml:space="preserve">, along with tender sprouts (</w:t>
      </w:r>
      <w:r>
        <w:rPr>
          <w:i/>
          <w:iCs/>
        </w:rPr>
        <w:t xml:space="preserve">Praroha</w:t>
      </w:r>
      <w:r>
        <w:t xml:space="preserve">) of latex-bearing trees. These wicks provide a structural scaffold and growth-promoting factors to fill the wound cavity from the base.</w:t>
      </w:r>
    </w:p>
    <w:p>
      <w:pPr>
        <w:pStyle w:val="Normal"/>
      </w:pPr>
      <w:r>
        <w:rPr>
          <w:b/>
          <w:bCs/>
        </w:rPr>
        <w:t xml:space="preserve">2.12.2</w:t>
      </w:r>
      <w:r>
        <w:rPr>
          <w:b/>
          <w:bCs/>
          <w:i/>
          <w:iCs/>
        </w:rPr>
        <w:t xml:space="preserve">Ropana Kalka, Ghrita</w:t>
      </w:r>
      <w:r>
        <w:rPr>
          <w:b/>
          <w:bCs/>
        </w:rPr>
        <w:t xml:space="preserve">, and</w:t>
      </w:r>
      <w:r>
        <w:rPr>
          <w:b/>
          <w:bCs/>
          <w:i/>
          <w:iCs/>
        </w:rPr>
        <w:t xml:space="preserve">Taila</w:t>
      </w:r>
    </w:p>
    <w:p>
      <w:pPr>
        <w:pStyle w:val="Normal"/>
      </w:pPr>
      <w:r>
        <w:t xml:space="preserve">To sustain the regenerative micro-environment, Sushruta prescribes various lipid and paste-based media:</w:t>
      </w:r>
    </w:p>
    <w:p>
      <w:pPr>
        <w:pStyle w:val="ListParagraph"/>
        <w:numPr>
          <w:ilvl w:val="0"/>
          <w:numId w:val="1"/>
        </w:numPr>
      </w:pPr>
      <w:r>
        <w:rPr>
          <w:i/>
          <w:iCs/>
        </w:rPr>
        <w:t xml:space="preserve">Kalka</w:t>
      </w:r>
      <w:r>
        <w:rPr>
          <w:i/>
          <w:iCs/>
          <w:vertAlign w:val="superscript"/>
        </w:rPr>
        <w:t xml:space="preserve">16</w:t>
      </w:r>
      <w:r>
        <w:t xml:space="preserve">: A blend of </w:t>
      </w:r>
      <w:r>
        <w:rPr>
          <w:i/>
          <w:iCs/>
        </w:rPr>
        <w:t xml:space="preserve">Samanga</w:t>
      </w:r>
      <w:r>
        <w:t xml:space="preserve"> (</w:t>
      </w:r>
      <w:r>
        <w:rPr>
          <w:i/>
          <w:iCs/>
        </w:rPr>
        <w:t xml:space="preserve">Mimosa pudica</w:t>
      </w:r>
      <w:r>
        <w:t xml:space="preserve">), </w:t>
      </w:r>
      <w:r>
        <w:rPr>
          <w:i/>
          <w:iCs/>
        </w:rPr>
        <w:t xml:space="preserve">Soma, Sarla, Somavalkala</w:t>
      </w:r>
      <w:r>
        <w:t xml:space="preserve">, and </w:t>
      </w:r>
      <w:r>
        <w:rPr>
          <w:i/>
          <w:iCs/>
        </w:rPr>
        <w:t xml:space="preserve">Chandana</w:t>
      </w:r>
      <w:r>
        <w:t xml:space="preserve"> is used. </w:t>
      </w:r>
      <w:r>
        <w:rPr>
          <w:i/>
          <w:iCs/>
        </w:rPr>
        <w:t xml:space="preserve">Samanga</w:t>
      </w:r>
      <w:r>
        <w:t xml:space="preserve"> is classically prized for its </w:t>
      </w:r>
      <w:r>
        <w:rPr>
          <w:i/>
          <w:iCs/>
        </w:rPr>
        <w:t xml:space="preserve">Sandhaniya</w:t>
      </w:r>
      <w:r>
        <w:t xml:space="preserve"> (binding) properties, facilitating the physical union of wound margins.</w:t>
      </w:r>
    </w:p>
    <w:p>
      <w:pPr>
        <w:pStyle w:val="ListParagraph"/>
        <w:numPr>
          <w:ilvl w:val="0"/>
          <w:numId w:val="1"/>
        </w:numPr>
      </w:pPr>
      <w:r>
        <w:rPr>
          <w:i/>
          <w:iCs/>
        </w:rPr>
        <w:t xml:space="preserve">Ghrita</w:t>
      </w:r>
      <w:r>
        <w:t xml:space="preserve"> (Medicated Ghee)</w:t>
      </w:r>
      <w:r>
        <w:rPr>
          <w:vertAlign w:val="superscript"/>
        </w:rPr>
        <w:t xml:space="preserve">17</w:t>
      </w:r>
      <w:r>
        <w:t xml:space="preserve">: healing ghee incorporates </w:t>
      </w:r>
      <w:r>
        <w:rPr>
          <w:i/>
          <w:iCs/>
        </w:rPr>
        <w:t xml:space="preserve">Prithakparni</w:t>
      </w:r>
      <w:r>
        <w:t xml:space="preserve"> (Uraria picta), </w:t>
      </w:r>
      <w:r>
        <w:rPr>
          <w:i/>
          <w:iCs/>
        </w:rPr>
        <w:t xml:space="preserve">Atmagupta</w:t>
      </w:r>
      <w:r>
        <w:t xml:space="preserve"> (</w:t>
      </w:r>
      <w:r>
        <w:rPr>
          <w:i/>
          <w:iCs/>
        </w:rPr>
        <w:t xml:space="preserve">Mucuna pruriens</w:t>
      </w:r>
      <w:r>
        <w:t xml:space="preserve">), </w:t>
      </w:r>
      <w:r>
        <w:rPr>
          <w:i/>
          <w:iCs/>
        </w:rPr>
        <w:t xml:space="preserve">Haridra, Daruharidra, Malati</w:t>
      </w:r>
      <w:r>
        <w:t xml:space="preserve"> (</w:t>
      </w:r>
      <w:r>
        <w:rPr>
          <w:i/>
          <w:iCs/>
        </w:rPr>
        <w:t xml:space="preserve">Jasminum officinarum</w:t>
      </w:r>
      <w:r>
        <w:t xml:space="preserve">), and </w:t>
      </w:r>
      <w:r>
        <w:rPr>
          <w:i/>
          <w:iCs/>
        </w:rPr>
        <w:t xml:space="preserve">Sita</w:t>
      </w:r>
      <w:r>
        <w:t xml:space="preserve"> (sugar). The lipid base ensures deep penetration while sugar acts as an osmotic stabilizer and Turmeric provides antimicrobial protection.</w:t>
      </w:r>
    </w:p>
    <w:p>
      <w:pPr>
        <w:pStyle w:val="ListParagraph"/>
        <w:numPr>
          <w:ilvl w:val="0"/>
          <w:numId w:val="1"/>
        </w:numPr>
      </w:pPr>
      <w:r>
        <w:rPr>
          <w:i/>
          <w:iCs/>
        </w:rPr>
        <w:t xml:space="preserve">Taila</w:t>
      </w:r>
      <w:r>
        <w:t xml:space="preserve"> (Medicated Oil)</w:t>
      </w:r>
      <w:r>
        <w:rPr>
          <w:vertAlign w:val="superscript"/>
        </w:rPr>
        <w:t xml:space="preserve">18</w:t>
      </w:r>
      <w:r>
        <w:t xml:space="preserve">: an oil preparation containing </w:t>
      </w:r>
      <w:r>
        <w:rPr>
          <w:i/>
          <w:iCs/>
        </w:rPr>
        <w:t xml:space="preserve">Kalanusarya</w:t>
      </w:r>
      <w:r>
        <w:t xml:space="preserve"> (</w:t>
      </w:r>
      <w:r>
        <w:rPr>
          <w:i/>
          <w:iCs/>
        </w:rPr>
        <w:t xml:space="preserve">Valeriana wallichii</w:t>
      </w:r>
      <w:r>
        <w:t xml:space="preserve">), </w:t>
      </w:r>
      <w:r>
        <w:rPr>
          <w:i/>
          <w:iCs/>
        </w:rPr>
        <w:t xml:space="preserve">Agaru</w:t>
      </w:r>
      <w:r>
        <w:t xml:space="preserve"> (</w:t>
      </w:r>
      <w:r>
        <w:rPr>
          <w:i/>
          <w:iCs/>
        </w:rPr>
        <w:t xml:space="preserve">Aqualaria agallocha</w:t>
      </w:r>
      <w:r>
        <w:t xml:space="preserve">), the two turmerics, </w:t>
      </w:r>
      <w:r>
        <w:rPr>
          <w:i/>
          <w:iCs/>
        </w:rPr>
        <w:t xml:space="preserve">Devadaru</w:t>
      </w:r>
      <w:r>
        <w:t xml:space="preserve"> (</w:t>
      </w:r>
      <w:r>
        <w:rPr>
          <w:i/>
          <w:iCs/>
        </w:rPr>
        <w:t xml:space="preserve">Cedrus deodara)</w:t>
      </w:r>
      <w:r>
        <w:t xml:space="preserve">, </w:t>
      </w:r>
      <w:r>
        <w:rPr>
          <w:i/>
          <w:iCs/>
        </w:rPr>
        <w:t xml:space="preserve">Priyangu</w:t>
      </w:r>
      <w:r>
        <w:t xml:space="preserve">, and </w:t>
      </w:r>
      <w:r>
        <w:rPr>
          <w:i/>
          <w:iCs/>
        </w:rPr>
        <w:t xml:space="preserve">Lodhra</w:t>
      </w:r>
      <w:r>
        <w:t xml:space="preserve">. This is particularly effective for wounds requiring deeper penetration of active healing markers.</w:t>
      </w:r>
    </w:p>
    <w:p>
      <w:pPr>
        <w:pStyle w:val="Normal"/>
      </w:pPr>
      <w:r>
        <w:rPr>
          <w:b/>
          <w:bCs/>
        </w:rPr>
        <w:t xml:space="preserve">2.12.3</w:t>
      </w:r>
      <w:r>
        <w:rPr>
          <w:b/>
          <w:bCs/>
          <w:i/>
          <w:iCs/>
        </w:rPr>
        <w:t xml:space="preserve">Ropana Churna</w:t>
      </w:r>
      <w:r>
        <w:rPr>
          <w:b/>
          <w:bCs/>
        </w:rPr>
        <w:t xml:space="preserve">and</w:t>
      </w:r>
      <w:r>
        <w:rPr>
          <w:b/>
          <w:bCs/>
          <w:i/>
          <w:iCs/>
        </w:rPr>
        <w:t xml:space="preserve">Rasakriya</w:t>
      </w:r>
      <w:r>
        <w:rPr>
          <w:b/>
          <w:bCs/>
          <w:vertAlign w:val="superscript"/>
        </w:rPr>
        <w:t xml:space="preserve">19</w:t>
      </w:r>
    </w:p>
    <w:p>
      <w:pPr>
        <w:pStyle w:val="Normal"/>
      </w:pPr>
      <w:r>
        <w:t xml:space="preserve">For surface maturation and the final closure of the wound:</w:t>
      </w:r>
    </w:p>
    <w:p>
      <w:pPr>
        <w:pStyle w:val="ListParagraph"/>
        <w:numPr>
          <w:ilvl w:val="0"/>
          <w:numId w:val="1"/>
        </w:numPr>
      </w:pPr>
      <w:r>
        <w:rPr>
          <w:i/>
          <w:iCs/>
        </w:rPr>
        <w:t xml:space="preserve">Churna</w:t>
      </w:r>
      <w:r>
        <w:t xml:space="preserve"> (Powders): Two distinct powders are described. The first utilizes </w:t>
      </w:r>
      <w:r>
        <w:rPr>
          <w:i/>
          <w:iCs/>
        </w:rPr>
        <w:t xml:space="preserve">Kanguka</w:t>
      </w:r>
      <w:r>
        <w:t xml:space="preserve">, </w:t>
      </w:r>
      <w:r>
        <w:rPr>
          <w:i/>
          <w:iCs/>
        </w:rPr>
        <w:t xml:space="preserve">Triphala, Lodhra, Kasisa, Shravanahvaya</w:t>
      </w:r>
      <w:r>
        <w:t xml:space="preserve"> (</w:t>
      </w:r>
      <w:r>
        <w:rPr>
          <w:i/>
          <w:iCs/>
        </w:rPr>
        <w:t xml:space="preserve">Sphaeranthus indicus</w:t>
      </w:r>
      <w:r>
        <w:t xml:space="preserve">), and the bark of </w:t>
      </w:r>
      <w:r>
        <w:rPr>
          <w:i/>
          <w:iCs/>
        </w:rPr>
        <w:t xml:space="preserve">Dhava(Anogeissus latifolia)</w:t>
      </w:r>
      <w:r>
        <w:t xml:space="preserve">and</w:t>
      </w:r>
      <w:r>
        <w:rPr>
          <w:i/>
          <w:iCs/>
        </w:rPr>
        <w:t xml:space="preserve">Ashvakarna(Shorea robusta)</w:t>
      </w:r>
      <w:r>
        <w:t xml:space="preserve">. The second incorporates </w:t>
      </w:r>
      <w:r>
        <w:rPr>
          <w:i/>
          <w:iCs/>
        </w:rPr>
        <w:t xml:space="preserve">Priyangu</w:t>
      </w:r>
      <w:r>
        <w:t xml:space="preserve">, </w:t>
      </w:r>
      <w:r>
        <w:rPr>
          <w:i/>
          <w:iCs/>
        </w:rPr>
        <w:t xml:space="preserve">Sarjarasa</w:t>
      </w:r>
      <w:r>
        <w:t xml:space="preserve"> (resin), and </w:t>
      </w:r>
      <w:r>
        <w:rPr>
          <w:i/>
          <w:iCs/>
        </w:rPr>
        <w:t xml:space="preserve">Pushpa-kasisa</w:t>
      </w:r>
      <w:r>
        <w:t xml:space="preserve">. These powders absorb excess surface moisture and provide a protective antimicrobial "seal" to promote epithelialization.</w:t>
      </w:r>
    </w:p>
    <w:p>
      <w:pPr>
        <w:pStyle w:val="ListParagraph"/>
        <w:numPr>
          <w:ilvl w:val="0"/>
          <w:numId w:val="1"/>
        </w:numPr>
      </w:pPr>
      <w:r>
        <w:rPr>
          <w:i/>
          <w:iCs/>
        </w:rPr>
        <w:t xml:space="preserve">Rasakriya</w:t>
      </w:r>
      <w:r>
        <w:t xml:space="preserve"> (Concentrated Extract): Prepared by concentrating decoctions of the </w:t>
      </w:r>
      <w:r>
        <w:rPr>
          <w:i/>
          <w:iCs/>
        </w:rPr>
        <w:t xml:space="preserve">Nyagrodhadi</w:t>
      </w:r>
      <w:r>
        <w:t xml:space="preserve"> group and </w:t>
      </w:r>
      <w:r>
        <w:rPr>
          <w:i/>
          <w:iCs/>
        </w:rPr>
        <w:t xml:space="preserve">Triphala</w:t>
      </w:r>
      <w:r>
        <w:t xml:space="preserve"> until they reach a viscous consistency. This provides a high-density astringent application for final cicatrization.</w:t>
      </w:r>
    </w:p>
    <w:p>
      <w:pPr>
        <w:pStyle w:val="Normal"/>
      </w:pPr>
      <w:r>
        <w:rPr>
          <w:b/>
          <w:bCs/>
        </w:rPr>
        <w:t xml:space="preserve">2.13</w:t>
      </w:r>
      <w:r>
        <w:rPr>
          <w:b/>
          <w:bCs/>
          <w:i/>
          <w:iCs/>
        </w:rPr>
        <w:t xml:space="preserve">Utsadana</w:t>
      </w:r>
      <w:r>
        <w:rPr>
          <w:b/>
          <w:bCs/>
        </w:rPr>
        <w:t xml:space="preserve">: Promotion of Granulation Tissue</w:t>
      </w:r>
    </w:p>
    <w:p>
      <w:pPr>
        <w:pStyle w:val="Normal"/>
      </w:pPr>
      <w:r>
        <w:t xml:space="preserve">In cases where the wound is depressed or shows "loss of flesh," </w:t>
      </w:r>
      <w:r>
        <w:rPr>
          <w:i/>
          <w:iCs/>
        </w:rPr>
        <w:t xml:space="preserve">Utsadana</w:t>
      </w:r>
      <w:r>
        <w:t xml:space="preserve"> (elevation/granulation promotion) is indicated. This is achieved through a paste of </w:t>
      </w:r>
      <w:r>
        <w:rPr>
          <w:i/>
          <w:iCs/>
        </w:rPr>
        <w:t xml:space="preserve">Apamarga</w:t>
      </w:r>
      <w:r>
        <w:t xml:space="preserve"> (</w:t>
      </w:r>
      <w:r>
        <w:rPr>
          <w:i/>
          <w:iCs/>
        </w:rPr>
        <w:t xml:space="preserve">Achyranthes aspera</w:t>
      </w:r>
      <w:r>
        <w:t xml:space="preserve">), </w:t>
      </w:r>
      <w:r>
        <w:rPr>
          <w:i/>
          <w:iCs/>
        </w:rPr>
        <w:t xml:space="preserve">Ashwagandha</w:t>
      </w:r>
      <w:r>
        <w:t xml:space="preserve"> (</w:t>
      </w:r>
      <w:r>
        <w:rPr>
          <w:i/>
          <w:iCs/>
        </w:rPr>
        <w:t xml:space="preserve">Withania somnifera</w:t>
      </w:r>
      <w:r>
        <w:t xml:space="preserve">), </w:t>
      </w:r>
      <w:r>
        <w:rPr>
          <w:i/>
          <w:iCs/>
        </w:rPr>
        <w:t xml:space="preserve">Talapatri</w:t>
      </w:r>
      <w:r>
        <w:t xml:space="preserve"> (</w:t>
      </w:r>
      <w:r>
        <w:rPr>
          <w:i/>
          <w:iCs/>
        </w:rPr>
        <w:t xml:space="preserve">Curculigo orchioides</w:t>
      </w:r>
      <w:r>
        <w:t xml:space="preserve">), </w:t>
      </w:r>
      <w:r>
        <w:rPr>
          <w:i/>
          <w:iCs/>
        </w:rPr>
        <w:t xml:space="preserve">Suvarchala</w:t>
      </w:r>
      <w:r>
        <w:t xml:space="preserve">, and the </w:t>
      </w:r>
      <w:r>
        <w:rPr>
          <w:i/>
          <w:iCs/>
        </w:rPr>
        <w:t xml:space="preserve">Kakolyadi Gana</w:t>
      </w:r>
      <w:r>
        <w:t xml:space="preserve">. </w:t>
      </w:r>
      <w:r>
        <w:rPr>
          <w:i/>
          <w:iCs/>
        </w:rPr>
        <w:t xml:space="preserve">Dalhana</w:t>
      </w:r>
      <w:r>
        <w:t xml:space="preserve"> emphasizes using the roots of </w:t>
      </w:r>
      <w:r>
        <w:rPr>
          <w:i/>
          <w:iCs/>
        </w:rPr>
        <w:t xml:space="preserve">Apamarga</w:t>
      </w:r>
      <w:r>
        <w:t xml:space="preserve"> and </w:t>
      </w:r>
      <w:r>
        <w:rPr>
          <w:i/>
          <w:iCs/>
        </w:rPr>
        <w:t xml:space="preserve">Suvarchala</w:t>
      </w:r>
      <w:r>
        <w:t xml:space="preserve"> for their cooling properties. These agents act as localized "growth boosters," stimulating the proliferation of healthy granulation tissue (</w:t>
      </w:r>
      <w:r>
        <w:rPr>
          <w:i/>
          <w:iCs/>
        </w:rPr>
        <w:t xml:space="preserve">Mamsa-vardhana</w:t>
      </w:r>
      <w:r>
        <w:t xml:space="preserve">) to level the wound with the surrounding skin surface.</w:t>
      </w:r>
    </w:p>
    <w:p>
      <w:pPr>
        <w:pStyle w:val="Normal"/>
      </w:pPr>
      <w:r>
        <w:rPr>
          <w:b/>
          <w:bCs/>
        </w:rPr>
        <w:t xml:space="preserve">3. Discussion:</w:t>
      </w:r>
    </w:p>
    <w:p>
      <w:pPr>
        <w:pStyle w:val="Normal"/>
      </w:pPr>
      <w:r>
        <w:t xml:space="preserve">The surgical philosophy embedded in the </w:t>
      </w:r>
      <w:r>
        <w:rPr>
          <w:i/>
          <w:iCs/>
        </w:rPr>
        <w:t xml:space="preserve">Mishraka Adhyaya</w:t>
      </w:r>
      <w:r>
        <w:t xml:space="preserve"> centers on the belief that a wound is a dynamic biological entity rather than a static mechanical defect. A critical analysis of the scholarly commentaries by </w:t>
      </w:r>
      <w:r>
        <w:rPr>
          <w:i/>
          <w:iCs/>
        </w:rPr>
        <w:t xml:space="preserve">Dalhana</w:t>
      </w:r>
      <w:r>
        <w:t xml:space="preserve"> and</w:t>
      </w:r>
      <w:r>
        <w:rPr>
          <w:i/>
          <w:iCs/>
        </w:rPr>
        <w:t xml:space="preserve">Chakrapani</w:t>
      </w:r>
      <w:r>
        <w:t xml:space="preserve"> reveals a dual justification for the </w:t>
      </w:r>
      <w:r>
        <w:rPr>
          <w:i/>
          <w:iCs/>
        </w:rPr>
        <w:t xml:space="preserve">Mishraka</w:t>
      </w:r>
      <w:r>
        <w:t xml:space="preserve"> nature of these formulations. </w:t>
      </w:r>
      <w:r>
        <w:rPr>
          <w:i/>
          <w:iCs/>
        </w:rPr>
        <w:t xml:space="preserve">Dalhana</w:t>
      </w:r>
      <w:r>
        <w:t xml:space="preserve"> emphasizes the pathological necessity, noting that </w:t>
      </w:r>
      <w:r>
        <w:rPr>
          <w:i/>
          <w:iCs/>
        </w:rPr>
        <w:t xml:space="preserve">Shotha</w:t>
      </w:r>
      <w:r>
        <w:t xml:space="preserve"> and </w:t>
      </w:r>
      <w:r>
        <w:rPr>
          <w:i/>
          <w:iCs/>
        </w:rPr>
        <w:t xml:space="preserve">Vrana</w:t>
      </w:r>
      <w:r>
        <w:t xml:space="preserve"> frequently present in transitional states—shifting between </w:t>
      </w:r>
      <w:r>
        <w:rPr>
          <w:i/>
          <w:iCs/>
        </w:rPr>
        <w:t xml:space="preserve">Pachyamanavastha</w:t>
      </w:r>
      <w:r>
        <w:t xml:space="preserve">(ripening) and </w:t>
      </w:r>
      <w:r>
        <w:rPr>
          <w:i/>
          <w:iCs/>
        </w:rPr>
        <w:t xml:space="preserve">Pakvavastha</w:t>
      </w:r>
      <w:r>
        <w:t xml:space="preserve"> (ripened). Conversely, </w:t>
      </w:r>
      <w:r>
        <w:rPr>
          <w:i/>
          <w:iCs/>
        </w:rPr>
        <w:t xml:space="preserve">Chakrapani</w:t>
      </w:r>
      <w:r>
        <w:t xml:space="preserve"> highlights the pharmacological synergy, suggesting that the deliberate combination of drug groups (</w:t>
      </w:r>
      <w:r>
        <w:rPr>
          <w:i/>
          <w:iCs/>
        </w:rPr>
        <w:t xml:space="preserve">Ganas</w:t>
      </w:r>
      <w:r>
        <w:t xml:space="preserve">) creates a multi-targeted effect that no single agent could achieve.</w:t>
      </w:r>
    </w:p>
    <w:p>
      <w:pPr>
        <w:pStyle w:val="Normal"/>
      </w:pPr>
      <w:r>
        <w:t xml:space="preserve">This ancient pharmacological system maps with remarkable precision onto the modern physiological phases of wound healing:</w:t>
      </w:r>
    </w:p>
    <w:p>
      <w:pPr>
        <w:pStyle w:val="ListParagraph"/>
        <w:numPr>
          <w:ilvl w:val="0"/>
          <w:numId w:val="1"/>
        </w:numPr>
      </w:pPr>
      <w:r>
        <w:rPr>
          <w:b/>
          <w:bCs/>
        </w:rPr>
        <w:t xml:space="preserve">Phase I: Inflammatory Modulation (</w:t>
      </w:r>
      <w:r>
        <w:rPr>
          <w:b/>
          <w:bCs/>
          <w:i/>
          <w:iCs/>
        </w:rPr>
        <w:t xml:space="preserve">Vimlapana</w:t>
      </w:r>
      <w:r>
        <w:rPr>
          <w:b/>
          <w:bCs/>
        </w:rPr>
        <w:t xml:space="preserve">&amp;</w:t>
      </w:r>
      <w:r>
        <w:rPr>
          <w:b/>
          <w:bCs/>
          <w:i/>
          <w:iCs/>
        </w:rPr>
        <w:t xml:space="preserve">Pachana</w:t>
      </w:r>
      <w:r>
        <w:rPr>
          <w:b/>
          <w:bCs/>
        </w:rPr>
        <w:t xml:space="preserve">):</w:t>
      </w:r>
      <w:r>
        <w:t xml:space="preserve"> The early use of </w:t>
      </w:r>
      <w:r>
        <w:rPr>
          <w:i/>
          <w:iCs/>
        </w:rPr>
        <w:t xml:space="preserve">Matulunga</w:t>
      </w:r>
      <w:r>
        <w:t xml:space="preserve"> combinations acts as a biological "brake" on acute inflammation. If resolution fails, the shift to </w:t>
      </w:r>
      <w:r>
        <w:rPr>
          <w:i/>
          <w:iCs/>
        </w:rPr>
        <w:t xml:space="preserve">Pachana</w:t>
      </w:r>
      <w:r>
        <w:t xml:space="preserve"> represents a controlled acceleration of the inflammatory cascade, utilizing thermogenic agents like </w:t>
      </w:r>
      <w:r>
        <w:rPr>
          <w:i/>
          <w:iCs/>
        </w:rPr>
        <w:t xml:space="preserve">Shigru</w:t>
      </w:r>
      <w:r>
        <w:t xml:space="preserve"> and </w:t>
      </w:r>
      <w:r>
        <w:rPr>
          <w:i/>
          <w:iCs/>
        </w:rPr>
        <w:t xml:space="preserve">Sarshapa</w:t>
      </w:r>
      <w:r>
        <w:t xml:space="preserve"> to concentrate immune response—a concept mirrored in modern "active suppuration" strategies.</w:t>
      </w:r>
    </w:p>
    <w:p>
      <w:pPr>
        <w:pStyle w:val="ListParagraph"/>
        <w:numPr>
          <w:ilvl w:val="0"/>
          <w:numId w:val="1"/>
        </w:numPr>
      </w:pPr>
      <w:r>
        <w:rPr>
          <w:b/>
          <w:bCs/>
        </w:rPr>
        <w:t xml:space="preserve">Phase II: Chemical Debridement (</w:t>
      </w:r>
      <w:r>
        <w:rPr>
          <w:b/>
          <w:bCs/>
          <w:i/>
          <w:iCs/>
        </w:rPr>
        <w:t xml:space="preserve">Darana</w:t>
      </w:r>
      <w:r>
        <w:rPr>
          <w:b/>
          <w:bCs/>
        </w:rPr>
        <w:t xml:space="preserve">&amp;</w:t>
      </w:r>
      <w:r>
        <w:rPr>
          <w:b/>
          <w:bCs/>
          <w:i/>
          <w:iCs/>
        </w:rPr>
        <w:t xml:space="preserve">Shodhana</w:t>
      </w:r>
      <w:r>
        <w:rPr>
          <w:b/>
          <w:bCs/>
        </w:rPr>
        <w:t xml:space="preserve">):</w:t>
      </w:r>
      <w:r>
        <w:t xml:space="preserve"> The transition to </w:t>
      </w:r>
      <w:r>
        <w:rPr>
          <w:i/>
          <w:iCs/>
        </w:rPr>
        <w:t xml:space="preserve">Darana</w:t>
      </w:r>
      <w:r>
        <w:t xml:space="preserve"> (pharmacological dissection) and the eight-fold </w:t>
      </w:r>
      <w:r>
        <w:rPr>
          <w:i/>
          <w:iCs/>
        </w:rPr>
        <w:t xml:space="preserve">Shodhana</w:t>
      </w:r>
      <w:r>
        <w:t xml:space="preserve"> hierarchy represents an advanced understanding of tissue debridement. The use of </w:t>
      </w:r>
      <w:r>
        <w:rPr>
          <w:i/>
          <w:iCs/>
        </w:rPr>
        <w:t xml:space="preserve">Kshara</w:t>
      </w:r>
      <w:r>
        <w:t xml:space="preserve"> (alkaline hydrolysis) and proteolytic enzymes (like those in </w:t>
      </w:r>
      <w:r>
        <w:rPr>
          <w:i/>
          <w:iCs/>
        </w:rPr>
        <w:t xml:space="preserve">Snuhi</w:t>
      </w:r>
      <w:r>
        <w:t xml:space="preserve"> latex) addresses the modern surgical challenge of microbial biofilms. By delivering these agents through </w:t>
      </w:r>
      <w:r>
        <w:rPr>
          <w:i/>
          <w:iCs/>
        </w:rPr>
        <w:t xml:space="preserve">Varti</w:t>
      </w:r>
      <w:r>
        <w:t xml:space="preserve"> (wicks) and </w:t>
      </w:r>
      <w:r>
        <w:rPr>
          <w:i/>
          <w:iCs/>
        </w:rPr>
        <w:t xml:space="preserve">Rasakriya</w:t>
      </w:r>
      <w:r>
        <w:t xml:space="preserve"> (concentrated extracts), the surgeon ensures sustained contact with deep-seated pathogens, a precursor to modern sustained-release antimicrobial dressings.</w:t>
      </w:r>
    </w:p>
    <w:p>
      <w:pPr>
        <w:pStyle w:val="ListParagraph"/>
        <w:numPr>
          <w:ilvl w:val="0"/>
          <w:numId w:val="1"/>
        </w:numPr>
      </w:pPr>
      <w:r>
        <w:rPr>
          <w:b/>
          <w:bCs/>
        </w:rPr>
        <w:t xml:space="preserve">Phase III: Proliferation and Remodeling (</w:t>
      </w:r>
      <w:r>
        <w:rPr>
          <w:b/>
          <w:bCs/>
          <w:i/>
          <w:iCs/>
        </w:rPr>
        <w:t xml:space="preserve">Utsadana</w:t>
      </w:r>
      <w:r>
        <w:rPr>
          <w:b/>
          <w:bCs/>
        </w:rPr>
        <w:t xml:space="preserve">&amp;</w:t>
      </w:r>
      <w:r>
        <w:rPr>
          <w:b/>
          <w:bCs/>
          <w:i/>
          <w:iCs/>
        </w:rPr>
        <w:t xml:space="preserve">Ropana</w:t>
      </w:r>
      <w:r>
        <w:rPr>
          <w:b/>
          <w:bCs/>
        </w:rPr>
        <w:t xml:space="preserve">):</w:t>
      </w:r>
      <w:r>
        <w:t xml:space="preserve"> Once purified, the environment shifts from "scraping" (</w:t>
      </w:r>
      <w:r>
        <w:rPr>
          <w:i/>
          <w:iCs/>
        </w:rPr>
        <w:t xml:space="preserve">Lekhana</w:t>
      </w:r>
      <w:r>
        <w:t xml:space="preserve">) to "filling" (</w:t>
      </w:r>
      <w:r>
        <w:rPr>
          <w:i/>
          <w:iCs/>
        </w:rPr>
        <w:t xml:space="preserve">Brimhana</w:t>
      </w:r>
      <w:r>
        <w:t xml:space="preserve">). The use of </w:t>
      </w:r>
      <w:r>
        <w:rPr>
          <w:i/>
          <w:iCs/>
        </w:rPr>
        <w:t xml:space="preserve">Ashwagandha</w:t>
      </w:r>
      <w:r>
        <w:t xml:space="preserve"> and </w:t>
      </w:r>
      <w:r>
        <w:rPr>
          <w:i/>
          <w:iCs/>
        </w:rPr>
        <w:t xml:space="preserve">Kshiri Vrikshas</w:t>
      </w:r>
      <w:r>
        <w:t xml:space="preserve"> provides the anabolic stimuli required for collagen synthesis and epithelialization. </w:t>
      </w:r>
      <w:r>
        <w:rPr>
          <w:i/>
          <w:iCs/>
        </w:rPr>
        <w:t xml:space="preserve">Avasadana</w:t>
      </w:r>
      <w:r>
        <w:t xml:space="preserve"> (chemically checking hyper-granulation) ensures a flat, functional scar, preventing the hypertrophic scarring that modern plastic surgery still struggles to manage.</w:t>
      </w:r>
    </w:p>
    <w:p>
      <w:pPr>
        <w:pStyle w:val="ListParagraph"/>
        <w:numPr>
          <w:ilvl w:val="0"/>
          <w:numId w:val="1"/>
        </w:numPr>
      </w:pPr>
      <w:r>
        <w:t xml:space="preserve">The pharmacological architecture of the </w:t>
      </w:r>
      <w:r>
        <w:rPr>
          <w:i/>
          <w:iCs/>
        </w:rPr>
        <w:t xml:space="preserve">Mishraka Adhyaya</w:t>
      </w:r>
      <w:r>
        <w:t xml:space="preserve"> represents an early precursor to modern </w:t>
      </w:r>
      <w:r>
        <w:rPr>
          <w:b/>
          <w:bCs/>
        </w:rPr>
        <w:t xml:space="preserve">Regulatory Science</w:t>
      </w:r>
      <w:r>
        <w:t xml:space="preserve"> and </w:t>
      </w:r>
      <w:r>
        <w:rPr>
          <w:b/>
          <w:bCs/>
        </w:rPr>
        <w:t xml:space="preserve">Quality Assurance</w:t>
      </w:r>
      <w:r>
        <w:t xml:space="preserve">. By organizing medicinal plants into functional </w:t>
      </w:r>
      <w:r>
        <w:rPr>
          <w:i/>
          <w:iCs/>
        </w:rPr>
        <w:t xml:space="preserve">Ganas</w:t>
      </w:r>
      <w:r>
        <w:t xml:space="preserve"> (standardized groups), Sushruta established a template for </w:t>
      </w:r>
      <w:r>
        <w:rPr>
          <w:b/>
          <w:bCs/>
        </w:rPr>
        <w:t xml:space="preserve">Therapeutic Consistency</w:t>
      </w:r>
      <w:r>
        <w:t xml:space="preserve">. In contemporary polyherbal medicine, a major regulatory challenge is the natural variation of phytochemicals due to soil and climate conditions. The </w:t>
      </w:r>
      <w:r>
        <w:rPr>
          <w:i/>
          <w:iCs/>
        </w:rPr>
        <w:t xml:space="preserve">Gana</w:t>
      </w:r>
      <w:r>
        <w:t xml:space="preserve"> system mitigates this by relying on a cluster of plants with shared pharmacological markers, ensuring that the collective therapeutic intent (</w:t>
      </w:r>
      <w:r>
        <w:rPr>
          <w:i/>
          <w:iCs/>
        </w:rPr>
        <w:t xml:space="preserve">Karma</w:t>
      </w:r>
      <w:r>
        <w:t xml:space="preserve">) remains stable even if individual constituents vary.</w:t>
      </w:r>
    </w:p>
    <w:p>
      <w:pPr>
        <w:pStyle w:val="ListParagraph"/>
        <w:numPr>
          <w:ilvl w:val="0"/>
          <w:numId w:val="1"/>
        </w:numPr>
      </w:pPr>
      <w:r>
        <w:t xml:space="preserve">Furthermore, the </w:t>
      </w:r>
      <w:r>
        <w:rPr>
          <w:b/>
          <w:bCs/>
        </w:rPr>
        <w:t xml:space="preserve">Yathalabham Principle</w:t>
      </w:r>
      <w:r>
        <w:t xml:space="preserve"> (Verse 33) provides a classical framework for </w:t>
      </w:r>
      <w:r>
        <w:rPr>
          <w:b/>
          <w:bCs/>
        </w:rPr>
        <w:t xml:space="preserve">Sustainable Growth and Development</w:t>
      </w:r>
      <w:r>
        <w:t xml:space="preserve">. In the context of global supply chain constraints and the over-harvesting of "vulnerable" species, this principle mandates a move toward </w:t>
      </w:r>
      <w:r>
        <w:rPr>
          <w:b/>
          <w:bCs/>
        </w:rPr>
        <w:t xml:space="preserve">Bio-regionalism</w:t>
      </w:r>
      <w:r>
        <w:t xml:space="preserve">. It empowers the surgeon to utilize locally available, high-quality substitutes that fulfill the required surgical action (</w:t>
      </w:r>
      <w:r>
        <w:rPr>
          <w:i/>
          <w:iCs/>
        </w:rPr>
        <w:t xml:space="preserve">Lekhana, Ropana</w:t>
      </w:r>
      <w:r>
        <w:t xml:space="preserve">, etc.). This ensures that traditional surgical practice remains both ecologically sustainable and economically viable, providing a sophisticated historical model for the </w:t>
      </w:r>
      <w:r>
        <w:rPr>
          <w:b/>
          <w:bCs/>
        </w:rPr>
        <w:t xml:space="preserve">standardization of resource-constrained surgical settings.</w:t>
      </w:r>
    </w:p>
    <w:p>
      <w:pPr>
        <w:pStyle w:val="Normal"/>
      </w:pPr>
      <w:r>
        <w:rPr>
          <w:b/>
          <w:bCs/>
        </w:rPr>
        <w:t xml:space="preserve">4. Conclusion</w:t>
      </w:r>
    </w:p>
    <w:p>
      <w:pPr>
        <w:pStyle w:val="Normal"/>
      </w:pPr>
      <w:r>
        <w:t xml:space="preserve">The Mishraka Adhyaya serves as the definitive "Surgical Pharmacopoeia" of Shalya Tantra, establishing that the success of any mechanical intervention is predicated on the pharmacological management of the tissue micro-environment. It bridges the historical gap between the surgeon’s blade and the body’s innate healing response, offering a non-invasive, biologically sound alternative to purely synthetic wound care protocols.</w:t>
      </w:r>
    </w:p>
    <w:p>
      <w:pPr>
        <w:pStyle w:val="Normal"/>
      </w:pPr>
      <w:r>
        <w:t xml:space="preserve">By categorizing surgical procedures into an eight-fold hierarchy supported by specific medicinal delivery systems (</w:t>
      </w:r>
      <w:r>
        <w:rPr>
          <w:i/>
          <w:iCs/>
        </w:rPr>
        <w:t xml:space="preserve">Varti, Rasakriya, Dhupana</w:t>
      </w:r>
      <w:r>
        <w:t xml:space="preserve">), Sushruta provides a blueprint for Personalized Wound Care. For the modern surgeon and researcher, this chapter offers more than historical interest; it provides a framework for developing plant-based, biofilm-disrupting agents and regenerative therapies that are both cost-effective and clinically potent. Ultimately, the </w:t>
      </w:r>
      <w:r>
        <w:rPr>
          <w:i/>
          <w:iCs/>
        </w:rPr>
        <w:t xml:space="preserve">Mishraka Adhyaya</w:t>
      </w:r>
      <w:r>
        <w:t xml:space="preserve"> reaffirms that in the hands of an expert surgeon, a well-formulated medicinal paste is as essential a tool as the sharpest blade.</w:t>
      </w:r>
    </w:p>
    <w:sectPr>
      <w:headerReference w:type="default" r:id="rId3"/>
      <w:headerReference w:type="first" r:id="rId4"/>
      <w:footerReference w:type="default" r:id="rId5"/>
      <w:footerReference w:type="first" r:id="rId6"/>
      <w:pgSz w:w="11906" w:h="16838"/>
      <w:pgMar w:top="1417" w:right="1417" w:bottom="1417" w:left="1417"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https://doi.org/10.63300/aijamay.v4i09.5</w:t>
    </w:r>
  </w:p>
  <w:p>
    <w:pPr>
      <w:pStyle w:val="Footer"/>
      <w:jc w:val="center"/>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1D4F91"/>
      </w:pBdr>
    </w:pPr>
    <w:r>
      <w:t xml:space="preserve">Aathiyoga Indian Journal of Ancient Medicine and Yoga</w:t>
    </w:r>
    <w:r>
      <w:tab/>
    </w:r>
    <w:r>
      <w:t xml:space="preserve">e-ISSN: 3048-9822</w:t>
    </w:r>
  </w:p>
</w:hdr>
</file>

<file path=word/header2.xml><?xml version="1.0" encoding="utf-8"?>
<w:hdr xmlns:w="http://schemas.openxmlformats.org/wordprocessingml/2006/main" xmlns:r="http://schemas.openxmlformats.org/officeDocument/2006/relationships">
  <w:tbl>
    <w:tblPr>
      <w:tblW w:w="9072" w:type="dxa"/>
      <w:tblInd w:w="0" w:type="dxa"/>
      <w:tblBorders>
        <w:bottom w:val="single" w:sz="6" w:space="0" w:color="1D4F91"/>
      </w:tblBorders>
      <w:tblLayout w:type="fixed"/>
      <w:tblCellMar>
        <w:top w:w="0" w:type="dxa"/>
        <w:left w:w="40" w:type="dxa"/>
        <w:bottom w:w="60" w:type="dxa"/>
        <w:right w:w="40" w:type="dxa"/>
      </w:tblCellMar>
    </w:tblPr>
    <w:tblGrid>
      <w:gridCol w:w="2268"/>
      <w:gridCol w:w="4536"/>
      <w:gridCol w:w="2268"/>
    </w:tblGrid>
    <w:tr>
      <w:trPr>
        <w:cantSplit/>
      </w:trPr>
      <w:tc>
        <w:tcPr>
          <w:tcW w:w="2268" w:type="dxa"/>
          <w:vAlign w:val="center"/>
        </w:tcPr>
        <w:p>
          <w:pPr>
            <w:pStyle w:val="Header"/>
            <w:jc w:val="left"/>
          </w:pPr>
        </w:p>
      </w:tc>
      <w:tc>
        <w:tcPr>
          <w:tcW w:w="4536" w:type="dxa"/>
          <w:vAlign w:val="center"/>
        </w:tcPr>
        <w:p>
          <w:pPr>
            <w:pStyle w:val="Header"/>
            <w:spacing w:before="0" w:after="0" w:line="240" w:lineRule="auto"/>
            <w:jc w:val="center"/>
          </w:pPr>
          <w:r>
            <w:rPr>
              <w:b/>
              <w:bCs/>
              <w:color w:val="1D4F91"/>
              <w:sz w:val="28"/>
              <w:szCs w:val="28"/>
            </w:rPr>
            <w:t xml:space="preserve">Aathiyoga Indian Journal of Ancient Medicine and Yoga</w:t>
          </w:r>
        </w:p>
        <w:p>
          <w:pPr>
            <w:pStyle w:val="Header"/>
            <w:spacing w:before="0" w:after="0" w:line="240" w:lineRule="auto"/>
            <w:jc w:val="center"/>
          </w:pPr>
          <w:r>
            <w:rPr>
              <w:color w:val="1D4F91"/>
              <w:sz w:val="18"/>
              <w:szCs w:val="18"/>
            </w:rPr>
            <w:t xml:space="preserve">Nallamuthu Gounder Mahalingam College</w:t>
          </w:r>
        </w:p>
        <w:p>
          <w:pPr>
            <w:pStyle w:val="Header"/>
            <w:spacing w:before="0" w:after="0" w:line="240" w:lineRule="auto"/>
            <w:jc w:val="center"/>
          </w:pPr>
          <w:r>
            <w:rPr>
              <w:color w:val="1D4F91"/>
              <w:sz w:val="18"/>
              <w:szCs w:val="18"/>
            </w:rPr>
            <w:t xml:space="preserve">aathiyoga.in</w:t>
          </w:r>
        </w:p>
      </w:tc>
      <w:tc>
        <w:tcPr>
          <w:tcW w:w="2268" w:type="dxa"/>
          <w:vAlign w:val="center"/>
        </w:tcPr>
        <w:p>
          <w:pPr>
            <w:pStyle w:val="Header"/>
            <w:spacing w:before="0" w:after="0" w:line="240" w:lineRule="auto"/>
            <w:jc w:val="right"/>
          </w:pPr>
          <w:r>
            <w:rPr>
              <w:color w:val="404040"/>
              <w:sz w:val="18"/>
              <w:szCs w:val="18"/>
            </w:rPr>
            <w:t xml:space="preserve">e-ISSN: 3048-9822</w:t>
          </w:r>
        </w:p>
      </w:tc>
    </w:tr>
  </w:tbl>
  <w:p>
    <w:pPr>
      <w:pStyle w:val="Header"/>
      <w:spacing w:before="170" w:after="0" w:line="20" w:lineRule="exact"/>
      <w:rPr>
        <w:sz w:val="2"/>
        <w:szCs w:val="2"/>
      </w:rPr>
    </w:pP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rPr>
        <w:rFonts w:ascii="Arial" w:hAnsi="Arial" w:cs="Arial"/>
      </w:rPr>
    </w:lvl>
    <w:lvl w:ilvl="1">
      <w:start w:val="1"/>
      <w:numFmt w:val="bullet"/>
      <w:lvlText w:val="◦"/>
      <w:lvlJc w:val="left"/>
      <w:pPr>
        <w:ind w:left="1134" w:hanging="283"/>
      </w:pPr>
      <w:rPr>
        <w:rFonts w:ascii="Arial" w:hAnsi="Arial" w:cs="Arial"/>
      </w:rPr>
    </w:lvl>
    <w:lvl w:ilvl="2">
      <w:start w:val="1"/>
      <w:numFmt w:val="bullet"/>
      <w:lvlText w:val="▪"/>
      <w:lvlJc w:val="left"/>
      <w:pPr>
        <w:ind w:left="1701" w:hanging="283"/>
      </w:pPr>
      <w:rPr>
        <w:rFonts w:ascii="Arial" w:hAnsi="Arial" w:cs="Arial"/>
      </w:rPr>
    </w:lvl>
    <w:lvl w:ilvl="3">
      <w:start w:val="1"/>
      <w:numFmt w:val="bullet"/>
      <w:lvlText w:val="•"/>
      <w:lvlJc w:val="left"/>
      <w:pPr>
        <w:ind w:left="2268" w:hanging="283"/>
      </w:pPr>
      <w:rPr>
        <w:rFonts w:ascii="Arial" w:hAnsi="Arial" w:cs="Arial"/>
      </w:rPr>
    </w:lvl>
    <w:lvl w:ilvl="4">
      <w:start w:val="1"/>
      <w:numFmt w:val="bullet"/>
      <w:lvlText w:val="◦"/>
      <w:lvlJc w:val="left"/>
      <w:pPr>
        <w:ind w:left="2835" w:hanging="283"/>
      </w:pPr>
      <w:rPr>
        <w:rFonts w:ascii="Arial" w:hAnsi="Arial" w:cs="Arial"/>
      </w:rPr>
    </w:lvl>
    <w:lvl w:ilvl="5">
      <w:start w:val="1"/>
      <w:numFmt w:val="bullet"/>
      <w:lvlText w:val="▪"/>
      <w:lvlJc w:val="left"/>
      <w:pPr>
        <w:ind w:left="3402" w:hanging="283"/>
      </w:pPr>
      <w:rPr>
        <w:rFonts w:ascii="Arial" w:hAnsi="Arial" w:cs="Arial"/>
      </w:rPr>
    </w:lvl>
    <w:lvl w:ilvl="6">
      <w:start w:val="1"/>
      <w:numFmt w:val="bullet"/>
      <w:lvlText w:val="•"/>
      <w:lvlJc w:val="left"/>
      <w:pPr>
        <w:ind w:left="3969" w:hanging="283"/>
      </w:pPr>
      <w:rPr>
        <w:rFonts w:ascii="Arial" w:hAnsi="Arial" w:cs="Arial"/>
      </w:rPr>
    </w:lvl>
    <w:lvl w:ilvl="7">
      <w:start w:val="1"/>
      <w:numFmt w:val="bullet"/>
      <w:lvlText w:val="◦"/>
      <w:lvlJc w:val="left"/>
      <w:pPr>
        <w:ind w:left="4536" w:hanging="283"/>
      </w:pPr>
      <w:rPr>
        <w:rFonts w:ascii="Arial" w:hAnsi="Arial" w:cs="Arial"/>
      </w:rPr>
    </w:lvl>
    <w:lvl w:ilvl="8">
      <w:start w:val="1"/>
      <w:numFmt w:val="bullet"/>
      <w:lvlText w:val="▪"/>
      <w:lvlJc w:val="left"/>
      <w:pPr>
        <w:ind w:left="5103" w:hanging="283"/>
      </w:pPr>
      <w:rPr>
        <w:rFonts w:ascii="Arial" w:hAnsi="Arial" w:cs="Arial"/>
      </w:rPr>
    </w:lvl>
  </w:abstractNum>
  <w:abstractNum w:abstractNumId="1">
    <w:multiLevelType w:val="hybridMultilevel"/>
    <w:lvl w:ilvl="0">
      <w:start w:val="1"/>
      <w:numFmt w:val="decimal"/>
      <w:lvlText w:val="%1."/>
      <w:lvlJc w:val="left"/>
      <w:pPr>
        <w:ind w:left="567" w:hanging="340"/>
      </w:pPr>
    </w:lvl>
    <w:lvl w:ilvl="1">
      <w:start w:val="1"/>
      <w:numFmt w:val="lowerLetter"/>
      <w:lvlText w:val="%2."/>
      <w:lvlJc w:val="left"/>
      <w:pPr>
        <w:ind w:left="1134" w:hanging="340"/>
      </w:pPr>
    </w:lvl>
    <w:lvl w:ilvl="2">
      <w:start w:val="1"/>
      <w:numFmt w:val="lowerRoman"/>
      <w:lvlText w:val="%3."/>
      <w:lvlJc w:val="left"/>
      <w:pPr>
        <w:ind w:left="1701" w:hanging="340"/>
      </w:pPr>
    </w:lvl>
    <w:lvl w:ilvl="3">
      <w:start w:val="1"/>
      <w:numFmt w:val="decimal"/>
      <w:lvlText w:val="%4."/>
      <w:lvlJc w:val="left"/>
      <w:pPr>
        <w:ind w:left="2268" w:hanging="340"/>
      </w:pPr>
    </w:lvl>
    <w:lvl w:ilvl="4">
      <w:start w:val="1"/>
      <w:numFmt w:val="lowerLetter"/>
      <w:lvlText w:val="%5."/>
      <w:lvlJc w:val="left"/>
      <w:pPr>
        <w:ind w:left="2835" w:hanging="340"/>
      </w:pPr>
    </w:lvl>
    <w:lvl w:ilvl="5">
      <w:start w:val="1"/>
      <w:numFmt w:val="lowerRoman"/>
      <w:lvlText w:val="%6."/>
      <w:lvlJc w:val="left"/>
      <w:pPr>
        <w:ind w:left="3402" w:hanging="340"/>
      </w:pPr>
    </w:lvl>
    <w:lvl w:ilvl="6">
      <w:start w:val="1"/>
      <w:numFmt w:val="decimal"/>
      <w:lvlText w:val="%7."/>
      <w:lvlJc w:val="left"/>
      <w:pPr>
        <w:ind w:left="3969" w:hanging="340"/>
      </w:pPr>
    </w:lvl>
    <w:lvl w:ilvl="7">
      <w:start w:val="1"/>
      <w:numFmt w:val="lowerLetter"/>
      <w:lvlText w:val="%8."/>
      <w:lvlJc w:val="left"/>
      <w:pPr>
        <w:ind w:left="4536" w:hanging="340"/>
      </w:pPr>
    </w:lvl>
    <w:lvl w:ilvl="8">
      <w:start w:val="1"/>
      <w:numFmt w:val="lowerRoman"/>
      <w:lvlText w:val="%9."/>
      <w:lvlJc w:val="left"/>
      <w:pPr>
        <w:ind w:left="5103" w:hanging="340"/>
      </w:pPr>
    </w:lvl>
  </w:abstractNum>
  <w:num w:numId="1">
    <w:abstractNumId w:val="0"/>
  </w:num>
  <w:num w:numId="10">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Latha"/>
        <w:sz w:val="22"/>
        <w:szCs w:val="22"/>
        <w:lang w:val="en-IN" w:eastAsia="en-US" w:bidi="ta-IN"/>
      </w:rPr>
    </w:rPrDefault>
    <w:pPrDefault>
      <w:pPr>
        <w:spacing w:after="0" w:line="240" w:lineRule="auto"/>
      </w:pPr>
    </w:pPrDefault>
  </w:docDefaults>
  <w:style w:type="paragraph" w:default="1" w:styleId="Normal">
    <w:name w:val="Normal"/>
    <w:uiPriority w:val="0"/>
    <w:qFormat/>
    <w:pPr>
      <w:spacing w:after="120" w:line="276" w:lineRule="auto"/>
      <w:jc w:val="both"/>
    </w:pPr>
    <w:rPr>
      <w:rFonts w:ascii="Times New Roman" w:hAnsi="Times New Roman" w:eastAsia="Times New Roman" w:cs="Lath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color w:val="1D4F91"/>
      <w:sz w:val="32"/>
      <w:szCs w:val="32"/>
    </w:rPr>
  </w:style>
  <w:style w:type="paragraph" w:customStyle="1" w:styleId="Authors">
    <w:name w:val="Authors"/>
    <w:basedOn w:val="Normal"/>
    <w:next w:val="Affiliation"/>
    <w:uiPriority w:val="11"/>
    <w:qFormat/>
    <w:pPr>
      <w:keepNext/>
      <w:spacing w:before="0" w:after="80" w:line="240" w:lineRule="auto"/>
      <w:ind w:firstLine="0"/>
      <w:jc w:val="center"/>
    </w:pPr>
    <w:rPr>
      <w:sz w:val="22"/>
      <w:szCs w:val="22"/>
    </w:rPr>
  </w:style>
  <w:style w:type="paragraph" w:customStyle="1" w:styleId="Affiliation">
    <w:name w:val="Affiliation"/>
    <w:basedOn w:val="Normal"/>
    <w:next w:val="Affiliation"/>
    <w:uiPriority w:val="12"/>
    <w:qFormat/>
    <w:pPr>
      <w:keepNext/>
      <w:spacing w:before="0" w:after="40" w:line="240" w:lineRule="auto"/>
      <w:ind w:firstLine="0"/>
      <w:jc w:val="center"/>
    </w:pPr>
    <w:rPr>
      <w:sz w:val="19"/>
      <w:szCs w:val="19"/>
    </w:rPr>
  </w:style>
  <w:style w:type="paragraph" w:customStyle="1" w:styleId="AbstractText">
    <w:name w:val="Abstract Text"/>
    <w:basedOn w:val="Normal"/>
    <w:next w:val="Normal"/>
    <w:uiPriority w:val="13"/>
    <w:qFormat/>
    <w:pPr>
      <w:spacing w:before="0" w:after="120" w:line="276" w:lineRule="auto"/>
      <w:ind w:firstLine="0"/>
      <w:jc w:val="both"/>
    </w:pPr>
    <w:rPr>
      <w:sz w:val="20"/>
      <w:szCs w:val="20"/>
    </w:rPr>
  </w:style>
  <w:style w:type="paragraph" w:customStyle="1" w:styleId="Keywords">
    <w:name w:val="Keywords"/>
    <w:basedOn w:val="AbstractText"/>
    <w:next w:val="Normal"/>
    <w:uiPriority w:val="14"/>
    <w:qFormat/>
    <w:pPr>
      <w:spacing w:before="0" w:after="240" w:line="276" w:lineRule="auto"/>
      <w:ind w:firstLine="0"/>
      <w:jc w:val="left"/>
    </w:pPr>
    <w:rPr>
      <w:sz w:val="20"/>
      <w:szCs w:val="20"/>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6"/>
      <w:szCs w:val="26"/>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2"/>
      <w:szCs w:val="22"/>
    </w:rPr>
  </w:style>
  <w:style w:type="paragraph" w:customStyle="1" w:styleId="Reference">
    <w:name w:val="Reference"/>
    <w:basedOn w:val="Normal"/>
    <w:uiPriority w:val="15"/>
    <w:qFormat/>
    <w:pPr>
      <w:spacing w:before="0" w:after="80" w:line="276" w:lineRule="auto"/>
      <w:ind w:left="567" w:hanging="567"/>
      <w:jc w:val="left"/>
    </w:pPr>
    <w:rPr>
      <w:sz w:val="20"/>
      <w:szCs w:val="20"/>
    </w:rPr>
  </w:style>
  <w:style w:type="paragraph" w:styleId="Caption">
    <w:name w:val="caption"/>
    <w:basedOn w:val="Normal"/>
    <w:next w:val="Normal"/>
    <w:uiPriority w:val="35"/>
    <w:qFormat/>
    <w:pPr>
      <w:spacing w:before="60" w:after="120" w:line="240" w:lineRule="auto"/>
      <w:ind w:firstLine="0"/>
      <w:jc w:val="center"/>
    </w:pPr>
    <w:rPr>
      <w:b/>
      <w:bCs/>
      <w:sz w:val="19"/>
      <w:szCs w:val="19"/>
    </w:rPr>
  </w:style>
  <w:style w:type="paragraph" w:customStyle="1" w:styleId="TableText">
    <w:name w:val="Table Text"/>
    <w:basedOn w:val="Normal"/>
    <w:uiPriority w:val="16"/>
    <w:qFormat/>
    <w:pPr>
      <w:spacing w:before="20" w:after="20" w:line="240" w:lineRule="auto"/>
      <w:ind w:firstLine="0"/>
      <w:jc w:val="left"/>
    </w:pPr>
    <w:rPr>
      <w:sz w:val="19"/>
      <w:szCs w:val="19"/>
    </w:rPr>
  </w:style>
  <w:style w:type="paragraph" w:styleId="Header">
    <w:name w:val="header"/>
    <w:basedOn w:val="Normal"/>
    <w:uiPriority w:val="99"/>
    <w:qFormat/>
    <w:pPr>
      <w:tabs>
        <w:tab w:val="right" w:pos="9072"/>
      </w:tabs>
      <w:spacing w:after="0" w:line="240" w:lineRule="auto"/>
      <w:ind w:firstLine="0"/>
      <w:jc w:val="left"/>
    </w:pPr>
    <w:rPr>
      <w:color w:val="595959"/>
      <w:sz w:val="18"/>
      <w:szCs w:val="18"/>
    </w:rPr>
  </w:style>
  <w:style w:type="paragraph" w:styleId="Footer">
    <w:name w:val="footer"/>
    <w:basedOn w:val="Normal"/>
    <w:uiPriority w:val="99"/>
    <w:qFormat/>
    <w:pPr>
      <w:tabs>
        <w:tab w:val="right" w:pos="9072"/>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0"/>
      <w:szCs w:val="20"/>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L1" Type="http://schemas.openxmlformats.org/officeDocument/2006/relationships/hyperlink" Target="mailto:drshashankpbhat@gmail.com" TargetMode="External"/><Relationship Id="rIdL2" Type="http://schemas.openxmlformats.org/officeDocument/2006/relationships/hyperlink" Target="https://doi.org/10.63300/aijamay.v4i09.5" TargetMode="External"/></Relationships>
</file>

<file path=docProps/app.xml><?xml version="1.0" encoding="utf-8"?>
<Properties xmlns="http://schemas.openxmlformats.org/officeDocument/2006/extended-properties">
  <Application>VYBE Journal – Manuscript Template</Application>
  <AppVersion>0.9.0</AppVersion>
</Properties>
</file>

<file path=docProps/core.xml><?xml version="1.0" encoding="utf-8"?>
<cp:coreProperties xmlns:cp="http://schemas.openxmlformats.org/package/2006/metadata/core-properties" xmlns:dc="http://purl.org/dc/elements/1.1/" xmlns:dcterms="http://purl.org/dc/terms/" xmlns:xsi="http://www.w3.org/2001/XMLSchema-instance">
  <dc:title>Beyond the Blade: Pharmacological and Quality Perspectives of Wound Modulation in Sushruta’s Mishraka Adhyaya</dc:title>
  <dc:creator>Dr Shashanka Parameshwara Bhat P</dc:creator>
  <dcterms:created xsi:type="dcterms:W3CDTF">2026-10-31T10:38:45Z</dcterms:created>
  <dcterms:modified xsi:type="dcterms:W3CDTF">2026-10-31T10:38:45Z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vt:lpwstr>
  </property>
  <property fmtid="{D5CDD505-2E9C-101B-9397-08002B2CF9AE}" pid="3" name="VJ_Mst_Hash">
    <vt:lpwstr>1dd41b9e10fd</vt:lpwstr>
  </property>
  <property fmtid="{D5CDD505-2E9C-101B-9397-08002B2CF9AE}" pid="4" name="VJ_Mst_Version">
    <vt:lpwstr>0.9.0</vt:lpwstr>
  </property>
  <property fmtid="{D5CDD505-2E9C-101B-9397-08002B2CF9AE}" pid="5" name="VJ_Mst_Mode">
    <vt:lpwstr>article</vt:lpwstr>
  </property>
</Properties>
</file>